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94F55" w14:textId="77777777" w:rsidR="007273C7" w:rsidRDefault="006F6355" w:rsidP="006F6355">
      <w:pPr>
        <w:rPr>
          <w:rFonts w:ascii="Arial" w:hAnsi="Arial" w:cs="Arial"/>
          <w:b/>
          <w:bCs/>
          <w:sz w:val="28"/>
          <w:szCs w:val="28"/>
        </w:rPr>
      </w:pPr>
      <w:r w:rsidRPr="006F6355">
        <w:rPr>
          <w:rFonts w:ascii="Arial" w:hAnsi="Arial" w:cs="Arial"/>
          <w:sz w:val="28"/>
          <w:szCs w:val="28"/>
        </w:rPr>
        <w:t xml:space="preserve"> </w:t>
      </w:r>
      <w:r w:rsidRPr="006F6355">
        <w:rPr>
          <w:rFonts w:ascii="Arial" w:hAnsi="Arial" w:cs="Arial"/>
          <w:b/>
          <w:bCs/>
          <w:sz w:val="28"/>
          <w:szCs w:val="28"/>
        </w:rPr>
        <w:t>Study of Knowledge Flow Enablers Using Integrated Fuzzy AHP-DEMATEL and Fuzzy AHP-VIKOR</w:t>
      </w:r>
    </w:p>
    <w:p w14:paraId="62552E4B" w14:textId="77777777" w:rsidR="006F6355" w:rsidRPr="006F6355" w:rsidRDefault="006F6355" w:rsidP="006F6355">
      <w:pPr>
        <w:rPr>
          <w:rFonts w:ascii="Arial" w:hAnsi="Arial" w:cs="Arial"/>
          <w:b/>
          <w:bCs/>
          <w:sz w:val="20"/>
          <w:szCs w:val="28"/>
        </w:rPr>
      </w:pPr>
    </w:p>
    <w:p w14:paraId="78DDD8D9" w14:textId="77777777" w:rsidR="006F6355" w:rsidRPr="006F6355" w:rsidRDefault="006F6355" w:rsidP="006F6355">
      <w:pPr>
        <w:rPr>
          <w:rFonts w:ascii="Arial" w:hAnsi="Arial" w:cs="Arial"/>
          <w:b/>
          <w:bCs/>
          <w:sz w:val="20"/>
          <w:szCs w:val="28"/>
        </w:rPr>
      </w:pPr>
    </w:p>
    <w:p w14:paraId="71D4E25B" w14:textId="475C6C40" w:rsidR="006F6355" w:rsidRDefault="006F6355" w:rsidP="006F6355">
      <w:pPr>
        <w:rPr>
          <w:rFonts w:ascii="Arial" w:hAnsi="Arial" w:cs="Arial"/>
          <w:szCs w:val="24"/>
          <w:vertAlign w:val="superscript"/>
        </w:rPr>
      </w:pPr>
      <w:r>
        <w:rPr>
          <w:rFonts w:ascii="Arial" w:hAnsi="Arial" w:cs="Arial"/>
          <w:szCs w:val="24"/>
        </w:rPr>
        <w:t>R. Kant</w:t>
      </w:r>
      <w:r>
        <w:rPr>
          <w:rFonts w:ascii="Arial" w:hAnsi="Arial" w:cs="Arial"/>
          <w:szCs w:val="24"/>
          <w:vertAlign w:val="superscript"/>
        </w:rPr>
        <w:t>1</w:t>
      </w:r>
      <w:r>
        <w:rPr>
          <w:rFonts w:ascii="Arial" w:hAnsi="Arial" w:cs="Arial"/>
          <w:szCs w:val="24"/>
        </w:rPr>
        <w:t>, V. A. Bhosale</w:t>
      </w:r>
      <w:r>
        <w:rPr>
          <w:rFonts w:ascii="Arial" w:hAnsi="Arial" w:cs="Arial"/>
          <w:szCs w:val="24"/>
          <w:vertAlign w:val="superscript"/>
        </w:rPr>
        <w:t>2</w:t>
      </w:r>
    </w:p>
    <w:p w14:paraId="0EFCC20F" w14:textId="77777777" w:rsidR="006F6355" w:rsidRDefault="006F6355" w:rsidP="006F6355">
      <w:pPr>
        <w:rPr>
          <w:rFonts w:ascii="Arial" w:hAnsi="Arial" w:cs="Arial"/>
          <w:sz w:val="20"/>
          <w:szCs w:val="20"/>
        </w:rPr>
      </w:pPr>
      <w:r w:rsidRPr="006F6355">
        <w:rPr>
          <w:rFonts w:ascii="Arial" w:hAnsi="Arial" w:cs="Arial"/>
          <w:sz w:val="20"/>
          <w:szCs w:val="20"/>
          <w:vertAlign w:val="superscript"/>
        </w:rPr>
        <w:t>1</w:t>
      </w:r>
      <w:r w:rsidRPr="006F6355">
        <w:rPr>
          <w:rFonts w:ascii="Arial" w:hAnsi="Arial" w:cs="Arial"/>
          <w:sz w:val="20"/>
          <w:szCs w:val="20"/>
        </w:rPr>
        <w:t>Department of Mechanical Engineering,</w:t>
      </w:r>
      <w:r>
        <w:rPr>
          <w:rFonts w:ascii="Arial" w:hAnsi="Arial" w:cs="Arial"/>
          <w:sz w:val="20"/>
          <w:szCs w:val="20"/>
        </w:rPr>
        <w:t xml:space="preserve"> </w:t>
      </w:r>
      <w:r>
        <w:t xml:space="preserve">Sardar Vallabhbhai National Institute </w:t>
      </w:r>
      <w:r w:rsidR="0040104F">
        <w:t>of</w:t>
      </w:r>
      <w:r>
        <w:t xml:space="preserve"> Technology, Surat</w:t>
      </w:r>
      <w:r w:rsidRPr="006F6355">
        <w:rPr>
          <w:rFonts w:ascii="Arial" w:hAnsi="Arial" w:cs="Arial"/>
          <w:sz w:val="20"/>
          <w:szCs w:val="20"/>
        </w:rPr>
        <w:t xml:space="preserve">, </w:t>
      </w:r>
      <w:r>
        <w:rPr>
          <w:rFonts w:ascii="Arial" w:hAnsi="Arial" w:cs="Arial"/>
          <w:sz w:val="20"/>
          <w:szCs w:val="20"/>
        </w:rPr>
        <w:t>India.</w:t>
      </w:r>
    </w:p>
    <w:p w14:paraId="11AD7CD0" w14:textId="77777777" w:rsidR="004E77A6" w:rsidRDefault="004E77A6" w:rsidP="004E77A6">
      <w:pPr>
        <w:rPr>
          <w:rFonts w:ascii="Arial" w:hAnsi="Arial" w:cs="Arial"/>
          <w:sz w:val="20"/>
          <w:szCs w:val="20"/>
        </w:rPr>
      </w:pPr>
      <w:r>
        <w:rPr>
          <w:rFonts w:ascii="Arial" w:hAnsi="Arial" w:cs="Arial"/>
          <w:sz w:val="20"/>
          <w:szCs w:val="20"/>
          <w:vertAlign w:val="superscript"/>
        </w:rPr>
        <w:t>2</w:t>
      </w:r>
      <w:r w:rsidRPr="006F6355">
        <w:rPr>
          <w:rFonts w:ascii="Arial" w:hAnsi="Arial" w:cs="Arial"/>
          <w:sz w:val="20"/>
          <w:szCs w:val="20"/>
        </w:rPr>
        <w:t>Department of Mechanical Engineering,</w:t>
      </w:r>
      <w:r>
        <w:rPr>
          <w:rFonts w:ascii="Arial" w:hAnsi="Arial" w:cs="Arial"/>
          <w:sz w:val="20"/>
          <w:szCs w:val="20"/>
        </w:rPr>
        <w:t xml:space="preserve"> </w:t>
      </w:r>
      <w:r>
        <w:t>Sardar Vallabhbhai National Institute of Technology, Surat</w:t>
      </w:r>
      <w:r w:rsidRPr="006F6355">
        <w:rPr>
          <w:rFonts w:ascii="Arial" w:hAnsi="Arial" w:cs="Arial"/>
          <w:sz w:val="20"/>
          <w:szCs w:val="20"/>
        </w:rPr>
        <w:t xml:space="preserve">, </w:t>
      </w:r>
      <w:r>
        <w:rPr>
          <w:rFonts w:ascii="Arial" w:hAnsi="Arial" w:cs="Arial"/>
          <w:sz w:val="20"/>
          <w:szCs w:val="20"/>
        </w:rPr>
        <w:t>India.</w:t>
      </w:r>
    </w:p>
    <w:p w14:paraId="4799F65A" w14:textId="77777777" w:rsidR="006F6355" w:rsidRDefault="006F6355" w:rsidP="006F6355">
      <w:pPr>
        <w:rPr>
          <w:rFonts w:ascii="Arial" w:hAnsi="Arial" w:cs="Arial"/>
          <w:sz w:val="20"/>
          <w:szCs w:val="20"/>
        </w:rPr>
      </w:pPr>
    </w:p>
    <w:p w14:paraId="788CBCC6" w14:textId="77777777" w:rsidR="006F6355" w:rsidRDefault="006F6355" w:rsidP="006F6355">
      <w:pPr>
        <w:rPr>
          <w:rFonts w:ascii="Arial" w:hAnsi="Arial" w:cs="Arial"/>
          <w:sz w:val="20"/>
          <w:szCs w:val="20"/>
        </w:rPr>
      </w:pPr>
    </w:p>
    <w:p w14:paraId="4A32EF37" w14:textId="77777777" w:rsidR="006F6355" w:rsidRDefault="004E77A6" w:rsidP="004E77A6">
      <w:pPr>
        <w:pStyle w:val="Default"/>
        <w:ind w:left="1152" w:right="1152"/>
        <w:jc w:val="both"/>
        <w:rPr>
          <w:rFonts w:ascii="Arial" w:hAnsi="Arial" w:cs="Arial"/>
          <w:sz w:val="18"/>
          <w:szCs w:val="18"/>
        </w:rPr>
      </w:pPr>
      <w:r>
        <w:rPr>
          <w:rFonts w:ascii="Arial" w:hAnsi="Arial" w:cs="Arial"/>
          <w:bCs/>
          <w:sz w:val="18"/>
          <w:szCs w:val="18"/>
        </w:rPr>
        <w:t>ABSTRACT</w:t>
      </w:r>
      <w:r w:rsidR="007F3336">
        <w:rPr>
          <w:rFonts w:ascii="Arial" w:hAnsi="Arial" w:cs="Arial"/>
          <w:bCs/>
          <w:sz w:val="18"/>
          <w:szCs w:val="18"/>
        </w:rPr>
        <w:t xml:space="preserve"> - </w:t>
      </w:r>
      <w:r w:rsidR="006F6355" w:rsidRPr="007F3336">
        <w:rPr>
          <w:rFonts w:ascii="Arial" w:hAnsi="Arial" w:cs="Arial"/>
          <w:sz w:val="18"/>
          <w:szCs w:val="18"/>
        </w:rPr>
        <w:t xml:space="preserve">To survive in today’s vast competition and fast changing market, all organisations need effective knowledge flow. Time to time varying customers requirement drive markets, technologies change and continuous innovation. In other word it stimulates organization to grasp and create new knowledge. So, organisations are required to learn continuously and to reinvent their process and products. In this process individual person skills and ability to share and create knowledge within their communities and social networks increasingly play an important role. An attempt has been made to identify important knowledge flow enablers (KFEs) in the organization on single platform. A large amount of literature is available on KFEs, but none of the authors paid attention to these issues simultaneously. To indentify the critical KFEs using the integrated fuzzy AHP and fuzzy DEMATEL and to establish contextual relationships among KFEs. </w:t>
      </w:r>
    </w:p>
    <w:p w14:paraId="1F0FF16A" w14:textId="77777777" w:rsidR="007F3336" w:rsidRPr="007F3336" w:rsidRDefault="007F3336" w:rsidP="007F3336">
      <w:pPr>
        <w:pStyle w:val="Default"/>
        <w:jc w:val="both"/>
        <w:rPr>
          <w:rFonts w:ascii="Arial" w:hAnsi="Arial" w:cs="Arial"/>
          <w:sz w:val="20"/>
          <w:szCs w:val="18"/>
        </w:rPr>
      </w:pPr>
    </w:p>
    <w:p w14:paraId="41AD4095" w14:textId="77777777" w:rsidR="007F3336" w:rsidRDefault="007F3336" w:rsidP="004E77A6">
      <w:pPr>
        <w:pStyle w:val="Default"/>
        <w:ind w:left="432" w:firstLine="720"/>
        <w:rPr>
          <w:rFonts w:ascii="Arial" w:hAnsi="Arial" w:cs="Arial"/>
          <w:sz w:val="18"/>
          <w:szCs w:val="18"/>
        </w:rPr>
      </w:pPr>
      <w:r w:rsidRPr="007F3336">
        <w:rPr>
          <w:rFonts w:ascii="Arial" w:hAnsi="Arial" w:cs="Arial"/>
          <w:sz w:val="18"/>
          <w:szCs w:val="18"/>
        </w:rPr>
        <w:t>Keywords- Knowledge flow, KF enablers, fuzzy AHP, fuzzy DEMATEL.</w:t>
      </w:r>
    </w:p>
    <w:p w14:paraId="2E935C23" w14:textId="77777777" w:rsidR="007F3336" w:rsidRDefault="007F3336" w:rsidP="007F3336">
      <w:pPr>
        <w:pStyle w:val="Default"/>
        <w:rPr>
          <w:rFonts w:ascii="Arial" w:hAnsi="Arial" w:cs="Arial"/>
          <w:sz w:val="20"/>
          <w:szCs w:val="18"/>
        </w:rPr>
      </w:pPr>
    </w:p>
    <w:p w14:paraId="6642738B" w14:textId="77777777" w:rsidR="007F3336" w:rsidRDefault="007F3336" w:rsidP="007F3336">
      <w:pPr>
        <w:pStyle w:val="Default"/>
        <w:rPr>
          <w:rFonts w:ascii="Arial" w:hAnsi="Arial" w:cs="Arial"/>
          <w:sz w:val="20"/>
          <w:szCs w:val="18"/>
        </w:rPr>
      </w:pPr>
    </w:p>
    <w:p w14:paraId="1E578A9E" w14:textId="77777777" w:rsidR="007F3336" w:rsidRPr="007F3336" w:rsidRDefault="007F3336" w:rsidP="007F3336">
      <w:pPr>
        <w:pStyle w:val="Default"/>
        <w:rPr>
          <w:rFonts w:ascii="Arial" w:hAnsi="Arial" w:cs="Arial"/>
          <w:sz w:val="20"/>
          <w:szCs w:val="18"/>
        </w:rPr>
      </w:pPr>
    </w:p>
    <w:p w14:paraId="1F6D9130" w14:textId="77777777" w:rsidR="007F3336" w:rsidRPr="007F3336" w:rsidRDefault="007F3336" w:rsidP="00F03598">
      <w:pPr>
        <w:pStyle w:val="Default"/>
        <w:numPr>
          <w:ilvl w:val="0"/>
          <w:numId w:val="4"/>
        </w:numPr>
        <w:jc w:val="both"/>
        <w:rPr>
          <w:rFonts w:ascii="Arial" w:hAnsi="Arial" w:cs="Arial"/>
          <w:b/>
          <w:sz w:val="20"/>
          <w:szCs w:val="18"/>
        </w:rPr>
      </w:pPr>
      <w:r w:rsidRPr="007F3336">
        <w:rPr>
          <w:rFonts w:ascii="Arial" w:hAnsi="Arial" w:cs="Arial"/>
          <w:b/>
          <w:sz w:val="20"/>
          <w:szCs w:val="18"/>
        </w:rPr>
        <w:t>INTRODUCTION TO KNOWLEDGE FLOW</w:t>
      </w:r>
    </w:p>
    <w:p w14:paraId="4967A458" w14:textId="77777777" w:rsidR="007F3336" w:rsidRPr="007F3336" w:rsidRDefault="007F3336" w:rsidP="007F3336">
      <w:pPr>
        <w:pStyle w:val="Default"/>
        <w:ind w:left="432"/>
        <w:jc w:val="both"/>
        <w:rPr>
          <w:rFonts w:ascii="Arial" w:hAnsi="Arial" w:cs="Arial"/>
          <w:b/>
          <w:sz w:val="22"/>
          <w:szCs w:val="18"/>
        </w:rPr>
      </w:pPr>
    </w:p>
    <w:p w14:paraId="2818AFDE" w14:textId="77777777" w:rsidR="007F3336" w:rsidRDefault="007F3336" w:rsidP="007F3336">
      <w:pPr>
        <w:pStyle w:val="Default"/>
        <w:jc w:val="both"/>
        <w:rPr>
          <w:rFonts w:ascii="Arial" w:hAnsi="Arial" w:cs="Arial"/>
          <w:sz w:val="20"/>
          <w:szCs w:val="18"/>
        </w:rPr>
      </w:pPr>
      <w:r w:rsidRPr="007F3336">
        <w:rPr>
          <w:rFonts w:ascii="Arial" w:hAnsi="Arial" w:cs="Arial"/>
          <w:sz w:val="20"/>
          <w:szCs w:val="18"/>
        </w:rPr>
        <w:t>In present business environment, organizations have to look at their strategies to remain competitive for their survival and growth. Knowledge and its management have become increasingly important for the survival of organizations. The organizations begin to realize that technology-based competitive advantages are transient, and that knowledge embedded in individual, group and organization is the source of sustainable competitive advantage (</w:t>
      </w:r>
      <w:proofErr w:type="spellStart"/>
      <w:r w:rsidRPr="007F3336">
        <w:rPr>
          <w:rFonts w:ascii="Arial" w:hAnsi="Arial" w:cs="Arial"/>
          <w:sz w:val="20"/>
          <w:szCs w:val="18"/>
        </w:rPr>
        <w:t>Lubit</w:t>
      </w:r>
      <w:proofErr w:type="spellEnd"/>
      <w:r w:rsidRPr="007F3336">
        <w:rPr>
          <w:rFonts w:ascii="Arial" w:hAnsi="Arial" w:cs="Arial"/>
          <w:sz w:val="20"/>
          <w:szCs w:val="18"/>
        </w:rPr>
        <w:t>, 2001). Hence, Knowledge Management (KM) implementation has generated great interest in the business world recently. During the KM implementation in organizations, it is important to understand what and how different knowledge flow enablers (KFEs) support its progress, as well as knowing how your organization can better performer due to effective handling of the different KFEs. Knowledge is unevenly distributed through most organizations and that’s why knowledge flows are critical to organizational efficacy and performance (Nissen and Levitt, 2002). Hence, study of Knowledge flow is an important concept for understanding knowledge intensive organizations and their operative work environment.</w:t>
      </w:r>
    </w:p>
    <w:p w14:paraId="561FA0B4" w14:textId="77777777" w:rsidR="00545528" w:rsidRDefault="00545528" w:rsidP="007F3336">
      <w:pPr>
        <w:pStyle w:val="Default"/>
        <w:jc w:val="both"/>
        <w:rPr>
          <w:rFonts w:ascii="Arial" w:hAnsi="Arial" w:cs="Arial"/>
          <w:sz w:val="20"/>
          <w:szCs w:val="18"/>
        </w:rPr>
      </w:pPr>
    </w:p>
    <w:p w14:paraId="1664F70E" w14:textId="77777777" w:rsidR="00545528" w:rsidRDefault="00F03598" w:rsidP="00F03598">
      <w:pPr>
        <w:pStyle w:val="Default"/>
        <w:numPr>
          <w:ilvl w:val="0"/>
          <w:numId w:val="4"/>
        </w:numPr>
        <w:jc w:val="both"/>
        <w:rPr>
          <w:rFonts w:ascii="Arial" w:hAnsi="Arial" w:cs="Arial"/>
          <w:b/>
          <w:sz w:val="20"/>
          <w:szCs w:val="18"/>
        </w:rPr>
      </w:pPr>
      <w:r w:rsidRPr="00545528">
        <w:rPr>
          <w:rFonts w:ascii="Arial" w:hAnsi="Arial" w:cs="Arial"/>
          <w:b/>
          <w:sz w:val="20"/>
          <w:szCs w:val="18"/>
        </w:rPr>
        <w:t>LITERATURE</w:t>
      </w:r>
      <w:r>
        <w:rPr>
          <w:rFonts w:ascii="Arial" w:hAnsi="Arial" w:cs="Arial"/>
          <w:b/>
          <w:sz w:val="20"/>
          <w:szCs w:val="18"/>
        </w:rPr>
        <w:t xml:space="preserve"> of</w:t>
      </w:r>
      <w:r w:rsidRPr="00545528">
        <w:rPr>
          <w:rFonts w:ascii="Arial" w:hAnsi="Arial" w:cs="Arial"/>
          <w:b/>
          <w:sz w:val="20"/>
          <w:szCs w:val="18"/>
        </w:rPr>
        <w:t xml:space="preserve"> KNOWLEDGE FLOW ENABLER</w:t>
      </w:r>
    </w:p>
    <w:p w14:paraId="3A668983" w14:textId="77777777" w:rsidR="003240B9" w:rsidRPr="00545528" w:rsidRDefault="003240B9" w:rsidP="003240B9">
      <w:pPr>
        <w:pStyle w:val="Default"/>
        <w:ind w:left="510"/>
        <w:jc w:val="both"/>
        <w:rPr>
          <w:rFonts w:ascii="Arial" w:hAnsi="Arial" w:cs="Arial"/>
          <w:b/>
          <w:sz w:val="20"/>
          <w:szCs w:val="18"/>
        </w:rPr>
      </w:pPr>
    </w:p>
    <w:p w14:paraId="0AB62DA0" w14:textId="77777777" w:rsidR="00545528" w:rsidRPr="00545528" w:rsidRDefault="00545528" w:rsidP="00545528">
      <w:pPr>
        <w:pStyle w:val="Default"/>
        <w:jc w:val="both"/>
        <w:rPr>
          <w:rFonts w:ascii="Arial" w:hAnsi="Arial" w:cs="Arial"/>
          <w:sz w:val="20"/>
          <w:szCs w:val="18"/>
          <w:lang w:val="en-IN"/>
        </w:rPr>
      </w:pPr>
      <w:r w:rsidRPr="00545528">
        <w:rPr>
          <w:rFonts w:ascii="Arial" w:hAnsi="Arial" w:cs="Arial"/>
          <w:sz w:val="20"/>
          <w:szCs w:val="18"/>
          <w:lang w:val="en-IN"/>
        </w:rPr>
        <w:t>The extensive literature reviews were carried out from various available databases related to knowledge sharing, knowledge transfer and knowledge flow. There are various concepts, conflicting definitions and overlapping views among the researchers and practitioners, but the central theme is still the same for all of them. Many researchers (Table 1) have agreed upon high level of importance to the knowledge flow. Knowledge flow improves organisational performance through enabling communication between various stakeholders of organization.</w:t>
      </w:r>
    </w:p>
    <w:p w14:paraId="0A010E19" w14:textId="77777777" w:rsidR="00545528" w:rsidRPr="00545528" w:rsidRDefault="00545528" w:rsidP="00545528">
      <w:pPr>
        <w:pStyle w:val="Default"/>
        <w:jc w:val="both"/>
        <w:rPr>
          <w:rFonts w:ascii="Arial" w:hAnsi="Arial" w:cs="Arial"/>
          <w:sz w:val="20"/>
          <w:szCs w:val="18"/>
          <w:lang w:val="en-IN"/>
        </w:rPr>
      </w:pPr>
      <w:r w:rsidRPr="00545528">
        <w:rPr>
          <w:rFonts w:ascii="Arial" w:hAnsi="Arial" w:cs="Arial"/>
          <w:sz w:val="20"/>
          <w:szCs w:val="18"/>
          <w:lang w:val="en-IN"/>
        </w:rPr>
        <w:tab/>
        <w:t xml:space="preserve">Arrow (1974) explains about the codes within organisation which act as a way for people to exchange information. Knowledge is transfer through codes. Organisation can optimise tacit knowledge transfer by training, learning and doing. The tacit knowledge may be classified as internal knowledge and external knowledge. Some people think that the internal knowledge is supporting </w:t>
      </w:r>
      <w:r w:rsidRPr="00545528">
        <w:rPr>
          <w:rFonts w:ascii="Arial" w:hAnsi="Arial" w:cs="Arial"/>
          <w:sz w:val="20"/>
          <w:szCs w:val="18"/>
          <w:lang w:val="en-IN"/>
        </w:rPr>
        <w:lastRenderedPageBreak/>
        <w:t xml:space="preserve">factor for knowledge flow (Katz and Allen, 1982). The external knowledge can provoke resistance within organisation but acquiring external knowledge saves time and update knowledge. The phenomenon is referred as avoid not invented here (NIH) syndrome. </w:t>
      </w:r>
    </w:p>
    <w:p w14:paraId="658686AF" w14:textId="77777777" w:rsidR="00545528" w:rsidRPr="00545528" w:rsidRDefault="00545528" w:rsidP="00545528">
      <w:pPr>
        <w:pStyle w:val="Default"/>
        <w:jc w:val="both"/>
        <w:rPr>
          <w:rFonts w:ascii="Arial" w:hAnsi="Arial" w:cs="Arial"/>
          <w:sz w:val="20"/>
          <w:szCs w:val="18"/>
          <w:lang w:val="en-IN"/>
        </w:rPr>
      </w:pPr>
      <w:r w:rsidRPr="00545528">
        <w:rPr>
          <w:rFonts w:ascii="Arial" w:hAnsi="Arial" w:cs="Arial"/>
          <w:sz w:val="20"/>
          <w:szCs w:val="18"/>
          <w:lang w:val="en-IN"/>
        </w:rPr>
        <w:tab/>
        <w:t xml:space="preserve">Knowledge flow in considerably improved by communication, motivation and absorptive capacity (Krone et al., 1987).  Dwyer et al. (1987) focused on shared values which contribute to the improvement of inter organizational relationship as well as knowledge flow for a strengthening buyer seller relationship. Ghoshal and Bartlett, (1988) studies organizational attributes that facilitate diffusion of knowledge in organization such as communication channel. The organization should recognise value of new information or upgraded knowledge, assimilate it and apply it to commercial ends. This mainly makes attention on absorptive capacity rather than willingness, motivation, commitment etc. (Cohen and Levinthal, 1990). Charles and Howells (1992) pointed on the knowledge transfer in universities and industries are enabled by technologies and codified knowledge. Knowledge is an important resource of the organisation. Its usefulness and usage will depend to a large extent on its quality. Thus education and training is necessary in updating and continues knowledge flow for the organization (Garvin, 1993).  Face to face interaction is the best way to transfer knowledge in the organization (Hippel, 1994). </w:t>
      </w:r>
    </w:p>
    <w:p w14:paraId="74E9CADA" w14:textId="77777777" w:rsidR="00545528" w:rsidRDefault="00545528" w:rsidP="00545528">
      <w:pPr>
        <w:pStyle w:val="Default"/>
        <w:jc w:val="both"/>
        <w:rPr>
          <w:rFonts w:ascii="Arial" w:hAnsi="Arial" w:cs="Arial"/>
          <w:sz w:val="20"/>
          <w:szCs w:val="18"/>
        </w:rPr>
      </w:pPr>
      <w:r w:rsidRPr="00545528">
        <w:rPr>
          <w:rFonts w:ascii="Arial" w:hAnsi="Arial" w:cs="Arial"/>
          <w:sz w:val="20"/>
          <w:szCs w:val="18"/>
          <w:lang w:val="en-IN"/>
        </w:rPr>
        <w:tab/>
        <w:t xml:space="preserve">Leonard-Barton (1995) reveals lesson for nurturing and growing the experience and accumulated knowledge of the organisation into renewable assets and competitive advantage. Organisational structure facilitates knowledge flow. It is shaped by an organisations policy, reward systems and incentives, which determine the channel from which knowledge is accessed and flows. Zander and Kogut (1995) point out that knowledge codification and teachability have a significant effect on the speed of knowledge flow. Codifiability is the degree to which knowledge can be encoded into a set of rules, relationships and categorize so as it becomes user friendly. Teachability refers to the extent of easiness so that it can be taught to new workers quickly. Inkpen and Dinur (1998) identified that codification is strongly help to knowledge flow. </w:t>
      </w:r>
      <w:r w:rsidRPr="00545528">
        <w:rPr>
          <w:rFonts w:ascii="Arial" w:hAnsi="Arial" w:cs="Arial"/>
          <w:sz w:val="20"/>
          <w:szCs w:val="18"/>
        </w:rPr>
        <w:t>Pan and Scarbrough (1998) argues that KFEs like top management commitment, organizational learning, and play major role in developing new products in an organization. Computer based tools and worldwide communication network can increase communication between individuals and team members to exchange valuable knowledge (</w:t>
      </w:r>
      <w:proofErr w:type="spellStart"/>
      <w:r w:rsidRPr="00545528">
        <w:rPr>
          <w:rFonts w:ascii="Arial" w:hAnsi="Arial" w:cs="Arial"/>
          <w:sz w:val="20"/>
          <w:szCs w:val="18"/>
        </w:rPr>
        <w:t>Verkasalo</w:t>
      </w:r>
      <w:proofErr w:type="spellEnd"/>
      <w:r w:rsidRPr="00545528">
        <w:rPr>
          <w:rFonts w:ascii="Arial" w:hAnsi="Arial" w:cs="Arial"/>
          <w:sz w:val="20"/>
          <w:szCs w:val="18"/>
        </w:rPr>
        <w:t xml:space="preserve"> and Lappalainen, 1998). Knowledge market operates on three kinds of exchanging knowledge between individuals and group: reciprocity, reputation and altruism. In reciprocity knowledgeable employee first share knowledge, and when he/she wants, he/she expect for the favor to be returned. Sometimes knowledge sharing is rewarded on individual reputation that he/she always like to share knowledge. Some persons are happy to care needs of others, and share knowledge altruistically (Davenport and Prusak, 1998).</w:t>
      </w:r>
    </w:p>
    <w:p w14:paraId="481800E2" w14:textId="77777777" w:rsidR="00545528" w:rsidRPr="00545528" w:rsidRDefault="00545528" w:rsidP="00D2330B">
      <w:pPr>
        <w:pStyle w:val="Default"/>
        <w:ind w:firstLine="720"/>
        <w:jc w:val="both"/>
        <w:rPr>
          <w:rFonts w:ascii="Arial" w:hAnsi="Arial" w:cs="Arial"/>
          <w:sz w:val="20"/>
          <w:szCs w:val="18"/>
          <w:lang w:val="en-IN"/>
        </w:rPr>
      </w:pPr>
      <w:r w:rsidRPr="00545528">
        <w:rPr>
          <w:rFonts w:ascii="Arial" w:hAnsi="Arial" w:cs="Arial"/>
          <w:sz w:val="20"/>
          <w:szCs w:val="18"/>
          <w:lang w:val="en-IN"/>
        </w:rPr>
        <w:t xml:space="preserve">Employees are encouraged to share their project knowledge and experience by using not only document management systems but also using various means of communication technologies (Amalia and Nugroho, 2011). </w:t>
      </w:r>
      <w:proofErr w:type="spellStart"/>
      <w:r w:rsidRPr="00545528">
        <w:rPr>
          <w:rFonts w:ascii="Arial" w:hAnsi="Arial" w:cs="Arial"/>
          <w:sz w:val="20"/>
          <w:szCs w:val="18"/>
        </w:rPr>
        <w:t>Handzic</w:t>
      </w:r>
      <w:proofErr w:type="spellEnd"/>
      <w:r w:rsidRPr="00545528">
        <w:rPr>
          <w:rFonts w:ascii="Arial" w:hAnsi="Arial" w:cs="Arial"/>
          <w:sz w:val="20"/>
          <w:szCs w:val="18"/>
        </w:rPr>
        <w:t xml:space="preserve"> (2011) discussed that knowledge has been widely recognized as a key resource for success in modern organizations, so as to better creation, transfer and utilization of knowledge has become a vital issue for KM. Existing knowledge may be transferred by a person to document form, which codified knowledge wider human audience. </w:t>
      </w:r>
      <w:proofErr w:type="spellStart"/>
      <w:r w:rsidRPr="00545528">
        <w:rPr>
          <w:rFonts w:ascii="Arial" w:hAnsi="Arial" w:cs="Arial"/>
          <w:sz w:val="20"/>
          <w:szCs w:val="18"/>
        </w:rPr>
        <w:t>Sandhawalia</w:t>
      </w:r>
      <w:proofErr w:type="spellEnd"/>
      <w:r w:rsidRPr="00545528">
        <w:rPr>
          <w:rFonts w:ascii="Arial" w:hAnsi="Arial" w:cs="Arial"/>
          <w:sz w:val="20"/>
          <w:szCs w:val="18"/>
        </w:rPr>
        <w:t xml:space="preserve"> and </w:t>
      </w:r>
      <w:proofErr w:type="spellStart"/>
      <w:r w:rsidRPr="00545528">
        <w:rPr>
          <w:rFonts w:ascii="Arial" w:hAnsi="Arial" w:cs="Arial"/>
          <w:sz w:val="20"/>
          <w:szCs w:val="18"/>
        </w:rPr>
        <w:t>Dalcher</w:t>
      </w:r>
      <w:proofErr w:type="spellEnd"/>
      <w:r w:rsidRPr="00545528">
        <w:rPr>
          <w:rFonts w:ascii="Arial" w:hAnsi="Arial" w:cs="Arial"/>
          <w:sz w:val="20"/>
          <w:szCs w:val="18"/>
        </w:rPr>
        <w:t xml:space="preserve"> (2011) claimed that efficient knowledge utilization assist organizational success. Organizations need to take steps, to bring together individuals with their common interest and improve their likelihood of success in knowledge sharing. KM infrastructure and process capabilities are needed to support and facilitate knowledge flow. Mishra and Bhaskar (2011) claimed that the KM process in organization is combination of knowledge creation, knowledge sharing, knowledge up-gradation, and knowledge retention. Knowledge sharing takes place through e-mails, telephone calls, tele-conferences, video conferences, frequently arrangement of get-togethers, and direct interaction. </w:t>
      </w:r>
      <w:r w:rsidRPr="00545528">
        <w:rPr>
          <w:rFonts w:ascii="Arial" w:hAnsi="Arial" w:cs="Arial"/>
          <w:sz w:val="20"/>
          <w:szCs w:val="18"/>
          <w:lang w:val="en-IN"/>
        </w:rPr>
        <w:t xml:space="preserve">In-house knowledge enhancement processes as well as up-gradation existing knowledge are organised from time to time and this enables people to learn new skills. The retention of knowledge denotes extracting tacit knowledge from person who will get retired or wants to leave, and storing it in the organisational memory so that it can be made explicit to others and used again and again at a later date. </w:t>
      </w:r>
      <w:proofErr w:type="spellStart"/>
      <w:r w:rsidRPr="00545528">
        <w:rPr>
          <w:rFonts w:ascii="Arial" w:hAnsi="Arial" w:cs="Arial"/>
          <w:sz w:val="20"/>
          <w:szCs w:val="18"/>
          <w:lang w:val="en-IN"/>
        </w:rPr>
        <w:t>Allameh</w:t>
      </w:r>
      <w:proofErr w:type="spellEnd"/>
      <w:r w:rsidRPr="00545528">
        <w:rPr>
          <w:rFonts w:ascii="Arial" w:hAnsi="Arial" w:cs="Arial"/>
          <w:sz w:val="20"/>
          <w:szCs w:val="18"/>
          <w:lang w:val="en-IN"/>
        </w:rPr>
        <w:t xml:space="preserve"> et al., (2011) identified KFEs namely motivation, knowledge source absorptive capacity, organizational culture, trust, information technology, collaborative learning while studying the relation between enabling factors and KM processes. Intra-organisational, cross unit collaboration makes and maintains the basis to facilitate flow knowledge (Cheng, 2011). The cultural attributes namely trust, innovation flow, supervision, and reward have a strong positive relationship with </w:t>
      </w:r>
      <w:r w:rsidRPr="00545528">
        <w:rPr>
          <w:rFonts w:ascii="Arial" w:hAnsi="Arial" w:cs="Arial"/>
          <w:sz w:val="20"/>
          <w:szCs w:val="18"/>
          <w:lang w:val="en-IN"/>
        </w:rPr>
        <w:lastRenderedPageBreak/>
        <w:t>knowledge exchange. The various r</w:t>
      </w:r>
      <w:r w:rsidRPr="00545528">
        <w:rPr>
          <w:rFonts w:ascii="Arial" w:hAnsi="Arial" w:cs="Arial"/>
          <w:sz w:val="20"/>
          <w:szCs w:val="18"/>
        </w:rPr>
        <w:t>reward and recognition programs are beneficial to hold knowledge experts</w:t>
      </w:r>
      <w:r w:rsidRPr="00545528">
        <w:rPr>
          <w:rFonts w:ascii="Arial" w:hAnsi="Arial" w:cs="Arial"/>
          <w:sz w:val="20"/>
          <w:szCs w:val="18"/>
          <w:lang w:val="en-IN"/>
        </w:rPr>
        <w:t xml:space="preserve"> (Al-</w:t>
      </w:r>
      <w:proofErr w:type="spellStart"/>
      <w:r w:rsidRPr="00545528">
        <w:rPr>
          <w:rFonts w:ascii="Arial" w:hAnsi="Arial" w:cs="Arial"/>
          <w:sz w:val="20"/>
          <w:szCs w:val="18"/>
          <w:lang w:val="en-IN"/>
        </w:rPr>
        <w:t>Adaileh</w:t>
      </w:r>
      <w:proofErr w:type="spellEnd"/>
      <w:r w:rsidRPr="00545528">
        <w:rPr>
          <w:rFonts w:ascii="Arial" w:hAnsi="Arial" w:cs="Arial"/>
          <w:sz w:val="20"/>
          <w:szCs w:val="18"/>
          <w:lang w:val="en-IN"/>
        </w:rPr>
        <w:t xml:space="preserve"> and Al-</w:t>
      </w:r>
      <w:proofErr w:type="spellStart"/>
      <w:r w:rsidRPr="00545528">
        <w:rPr>
          <w:rFonts w:ascii="Arial" w:hAnsi="Arial" w:cs="Arial"/>
          <w:sz w:val="20"/>
          <w:szCs w:val="18"/>
          <w:lang w:val="en-IN"/>
        </w:rPr>
        <w:t>Atawi</w:t>
      </w:r>
      <w:proofErr w:type="spellEnd"/>
      <w:r w:rsidRPr="00545528">
        <w:rPr>
          <w:rFonts w:ascii="Arial" w:hAnsi="Arial" w:cs="Arial"/>
          <w:sz w:val="20"/>
          <w:szCs w:val="18"/>
          <w:lang w:val="en-IN"/>
        </w:rPr>
        <w:t xml:space="preserve">, 2011). </w:t>
      </w:r>
    </w:p>
    <w:p w14:paraId="5BE6C953" w14:textId="77777777" w:rsidR="00545528" w:rsidRDefault="00545528" w:rsidP="00545528">
      <w:pPr>
        <w:pStyle w:val="Default"/>
        <w:jc w:val="both"/>
        <w:rPr>
          <w:rFonts w:ascii="Arial" w:hAnsi="Arial" w:cs="Arial"/>
          <w:sz w:val="20"/>
          <w:szCs w:val="18"/>
          <w:lang w:val="en-IN"/>
        </w:rPr>
      </w:pPr>
      <w:r w:rsidRPr="00545528">
        <w:rPr>
          <w:rFonts w:ascii="Arial" w:hAnsi="Arial" w:cs="Arial"/>
          <w:iCs/>
          <w:sz w:val="20"/>
          <w:szCs w:val="18"/>
          <w:lang w:val="en-IN"/>
        </w:rPr>
        <w:t>Knowledge exchange in organisation may be improved due to knowledge categorisation and knowledge up-gradation which in turn will influence efficiency (</w:t>
      </w:r>
      <w:proofErr w:type="spellStart"/>
      <w:r w:rsidRPr="00545528">
        <w:rPr>
          <w:rFonts w:ascii="Arial" w:hAnsi="Arial" w:cs="Arial"/>
          <w:iCs/>
          <w:sz w:val="20"/>
          <w:szCs w:val="18"/>
          <w:lang w:val="en-IN"/>
        </w:rPr>
        <w:t>Lingbo</w:t>
      </w:r>
      <w:proofErr w:type="spellEnd"/>
      <w:r w:rsidRPr="00545528">
        <w:rPr>
          <w:rFonts w:ascii="Arial" w:hAnsi="Arial" w:cs="Arial"/>
          <w:iCs/>
          <w:sz w:val="20"/>
          <w:szCs w:val="18"/>
          <w:lang w:val="en-IN"/>
        </w:rPr>
        <w:t xml:space="preserve"> and </w:t>
      </w:r>
      <w:proofErr w:type="spellStart"/>
      <w:r w:rsidRPr="00545528">
        <w:rPr>
          <w:rFonts w:ascii="Arial" w:hAnsi="Arial" w:cs="Arial"/>
          <w:iCs/>
          <w:sz w:val="20"/>
          <w:szCs w:val="18"/>
          <w:lang w:val="en-IN"/>
        </w:rPr>
        <w:t>Kaichao</w:t>
      </w:r>
      <w:proofErr w:type="spellEnd"/>
      <w:r w:rsidRPr="00545528">
        <w:rPr>
          <w:rFonts w:ascii="Arial" w:hAnsi="Arial" w:cs="Arial"/>
          <w:iCs/>
          <w:sz w:val="20"/>
          <w:szCs w:val="18"/>
          <w:lang w:val="en-IN"/>
        </w:rPr>
        <w:t xml:space="preserve">, 2012).  </w:t>
      </w:r>
      <w:r w:rsidRPr="00545528">
        <w:rPr>
          <w:rFonts w:ascii="Arial" w:hAnsi="Arial" w:cs="Arial"/>
          <w:sz w:val="20"/>
          <w:szCs w:val="18"/>
        </w:rPr>
        <w:t xml:space="preserve">Siddique (2012) has carried out survey on knowledge sharing methods and asked common knowledge sharing methods to participants. The data summarized show strong support to following methods, meeting and discussion forums, workshop and seminars, company’s internal document, training and developing programs mentoring and coaching. </w:t>
      </w:r>
      <w:proofErr w:type="spellStart"/>
      <w:r w:rsidRPr="00545528">
        <w:rPr>
          <w:rFonts w:ascii="Arial" w:hAnsi="Arial" w:cs="Arial"/>
          <w:sz w:val="20"/>
          <w:szCs w:val="18"/>
          <w:lang w:val="en-IN"/>
        </w:rPr>
        <w:t>Bettiol</w:t>
      </w:r>
      <w:proofErr w:type="spellEnd"/>
      <w:r w:rsidRPr="00545528">
        <w:rPr>
          <w:rFonts w:ascii="Arial" w:hAnsi="Arial" w:cs="Arial"/>
          <w:sz w:val="20"/>
          <w:szCs w:val="18"/>
          <w:lang w:val="en-IN"/>
        </w:rPr>
        <w:t xml:space="preserve"> et al. (2012) carried out study on KM and argued that knowledge codification as a strategy which can increase the efficiency in KM at the organizational level and to support knowledge transfer across individuals and organization.</w:t>
      </w:r>
    </w:p>
    <w:p w14:paraId="3FC64C38" w14:textId="77777777" w:rsidR="00545528" w:rsidRDefault="00545528" w:rsidP="00545528">
      <w:pPr>
        <w:pStyle w:val="Default"/>
        <w:jc w:val="both"/>
        <w:rPr>
          <w:rFonts w:ascii="Arial" w:hAnsi="Arial" w:cs="Arial"/>
          <w:sz w:val="20"/>
          <w:szCs w:val="18"/>
          <w:lang w:val="en-IN"/>
        </w:rPr>
      </w:pPr>
      <w:r>
        <w:rPr>
          <w:rFonts w:ascii="Arial" w:hAnsi="Arial" w:cs="Arial"/>
          <w:sz w:val="20"/>
          <w:szCs w:val="18"/>
          <w:lang w:val="en-IN"/>
        </w:rPr>
        <w:t xml:space="preserve"> </w:t>
      </w:r>
    </w:p>
    <w:p w14:paraId="3566DCBB" w14:textId="77777777" w:rsidR="00545528" w:rsidRPr="00545528" w:rsidRDefault="00545528" w:rsidP="00F03598">
      <w:pPr>
        <w:pStyle w:val="Default"/>
        <w:numPr>
          <w:ilvl w:val="0"/>
          <w:numId w:val="4"/>
        </w:numPr>
        <w:jc w:val="both"/>
        <w:rPr>
          <w:rFonts w:ascii="Arial" w:hAnsi="Arial" w:cs="Arial"/>
          <w:b/>
          <w:sz w:val="20"/>
          <w:szCs w:val="20"/>
          <w:lang w:val="en-IN"/>
        </w:rPr>
      </w:pPr>
      <w:r w:rsidRPr="00545528">
        <w:rPr>
          <w:rFonts w:ascii="Arial" w:hAnsi="Arial" w:cs="Arial"/>
          <w:b/>
          <w:sz w:val="20"/>
          <w:szCs w:val="20"/>
          <w:lang w:val="en-IN"/>
        </w:rPr>
        <w:t>METHODOLOGY</w:t>
      </w:r>
    </w:p>
    <w:p w14:paraId="462ECA59" w14:textId="77777777" w:rsidR="00545528" w:rsidRPr="00545528" w:rsidRDefault="00545528" w:rsidP="003240B9">
      <w:pPr>
        <w:pStyle w:val="Default"/>
        <w:jc w:val="both"/>
        <w:rPr>
          <w:rFonts w:ascii="Arial" w:hAnsi="Arial" w:cs="Arial"/>
          <w:b/>
          <w:sz w:val="20"/>
          <w:szCs w:val="20"/>
          <w:lang w:val="en-IN"/>
        </w:rPr>
      </w:pPr>
    </w:p>
    <w:p w14:paraId="0C159F10" w14:textId="77777777" w:rsidR="00545528" w:rsidRDefault="00545528" w:rsidP="003240B9">
      <w:pPr>
        <w:pStyle w:val="ListParagraph"/>
        <w:spacing w:after="0"/>
        <w:ind w:left="0"/>
        <w:rPr>
          <w:rFonts w:ascii="Arial" w:hAnsi="Arial" w:cs="Arial"/>
          <w:sz w:val="20"/>
          <w:szCs w:val="20"/>
        </w:rPr>
      </w:pPr>
      <w:r w:rsidRPr="00545528">
        <w:rPr>
          <w:rFonts w:ascii="Arial" w:hAnsi="Arial" w:cs="Arial"/>
          <w:sz w:val="20"/>
          <w:szCs w:val="20"/>
        </w:rPr>
        <w:t>This study intends to use a combination of fuzzy Analytic Hierarchy Process (AHP) and fuzzy Decision-making Trial and Evaluation Laboratory (DEMATEL) method in knowledge flow implementation in manufacturing industry. Here AHP is used to evaluate the weighting for each criterion and then DEMATEL method is used to establish contextual relationship between them.</w:t>
      </w:r>
    </w:p>
    <w:p w14:paraId="3483DD6A" w14:textId="77777777" w:rsidR="003240B9" w:rsidRDefault="003240B9" w:rsidP="003240B9">
      <w:pPr>
        <w:pStyle w:val="ListParagraph"/>
        <w:spacing w:after="0"/>
        <w:rPr>
          <w:rFonts w:ascii="Arial" w:hAnsi="Arial" w:cs="Arial"/>
          <w:sz w:val="20"/>
          <w:szCs w:val="20"/>
        </w:rPr>
      </w:pPr>
    </w:p>
    <w:p w14:paraId="41D1F29D" w14:textId="77777777" w:rsidR="003240B9" w:rsidRPr="00643DE6" w:rsidRDefault="003240B9" w:rsidP="00643DE6">
      <w:pPr>
        <w:pStyle w:val="ListParagraph"/>
        <w:numPr>
          <w:ilvl w:val="0"/>
          <w:numId w:val="6"/>
        </w:numPr>
        <w:spacing w:after="0"/>
        <w:ind w:left="360"/>
        <w:rPr>
          <w:rFonts w:ascii="Arial" w:hAnsi="Arial" w:cs="Arial"/>
          <w:b/>
          <w:sz w:val="20"/>
          <w:szCs w:val="20"/>
        </w:rPr>
      </w:pPr>
      <w:r w:rsidRPr="00643DE6">
        <w:rPr>
          <w:rFonts w:ascii="Arial" w:hAnsi="Arial" w:cs="Arial"/>
          <w:b/>
          <w:sz w:val="20"/>
          <w:szCs w:val="20"/>
        </w:rPr>
        <w:t>Fuzzy AHP method</w:t>
      </w:r>
    </w:p>
    <w:p w14:paraId="2E555956" w14:textId="77777777" w:rsidR="003240B9" w:rsidRPr="003240B9" w:rsidRDefault="003240B9" w:rsidP="003240B9">
      <w:pPr>
        <w:jc w:val="both"/>
        <w:rPr>
          <w:rFonts w:ascii="Arial" w:hAnsi="Arial" w:cs="Arial"/>
          <w:b/>
          <w:sz w:val="20"/>
          <w:szCs w:val="20"/>
        </w:rPr>
      </w:pPr>
    </w:p>
    <w:p w14:paraId="1B510C17" w14:textId="77777777" w:rsidR="003240B9" w:rsidRDefault="003240B9" w:rsidP="003240B9">
      <w:pPr>
        <w:pStyle w:val="ListParagraph"/>
        <w:spacing w:after="0"/>
        <w:ind w:left="0"/>
        <w:rPr>
          <w:rFonts w:ascii="Arial" w:hAnsi="Arial" w:cs="Arial"/>
          <w:sz w:val="20"/>
          <w:szCs w:val="20"/>
        </w:rPr>
      </w:pPr>
      <w:r w:rsidRPr="003240B9">
        <w:rPr>
          <w:rFonts w:ascii="Arial" w:hAnsi="Arial" w:cs="Arial"/>
          <w:sz w:val="20"/>
          <w:szCs w:val="20"/>
        </w:rPr>
        <w:t>The AHP is a flexible multi-criteria decision-making method which can be used to effectively synthesize the judgments given by a team of experts in order to make better decisions in complex settings, where both tangible and intangible criteria must be considered (Saaty, 1990). It is a powerful decision-making methodology for determining the priorities among different criteria.</w:t>
      </w:r>
    </w:p>
    <w:p w14:paraId="0F498BA6" w14:textId="77777777" w:rsidR="003240B9" w:rsidRDefault="003240B9" w:rsidP="003240B9">
      <w:pPr>
        <w:pStyle w:val="ListParagraph"/>
        <w:spacing w:after="0"/>
        <w:ind w:left="0"/>
        <w:rPr>
          <w:rFonts w:ascii="Arial" w:hAnsi="Arial" w:cs="Arial"/>
          <w:sz w:val="20"/>
          <w:szCs w:val="20"/>
        </w:rPr>
      </w:pPr>
    </w:p>
    <w:p w14:paraId="137F291D" w14:textId="77777777" w:rsidR="003240B9" w:rsidRPr="00643DE6" w:rsidRDefault="003240B9" w:rsidP="00643DE6">
      <w:pPr>
        <w:pStyle w:val="ListParagraph"/>
        <w:numPr>
          <w:ilvl w:val="0"/>
          <w:numId w:val="6"/>
        </w:numPr>
        <w:spacing w:after="0"/>
        <w:ind w:left="360"/>
        <w:rPr>
          <w:rFonts w:ascii="Arial" w:hAnsi="Arial" w:cs="Arial"/>
          <w:b/>
          <w:sz w:val="20"/>
          <w:szCs w:val="20"/>
        </w:rPr>
      </w:pPr>
      <w:r w:rsidRPr="00643DE6">
        <w:rPr>
          <w:rFonts w:ascii="Arial" w:hAnsi="Arial" w:cs="Arial"/>
          <w:b/>
          <w:sz w:val="20"/>
          <w:szCs w:val="20"/>
        </w:rPr>
        <w:t xml:space="preserve">Fuzzy DEMATEL method </w:t>
      </w:r>
    </w:p>
    <w:p w14:paraId="1058EDCB" w14:textId="77777777" w:rsidR="003240B9" w:rsidRPr="003240B9" w:rsidRDefault="003240B9" w:rsidP="003240B9">
      <w:pPr>
        <w:jc w:val="both"/>
        <w:rPr>
          <w:rFonts w:ascii="Arial" w:hAnsi="Arial" w:cs="Arial"/>
          <w:b/>
          <w:sz w:val="20"/>
          <w:szCs w:val="20"/>
        </w:rPr>
      </w:pPr>
    </w:p>
    <w:p w14:paraId="3EA73753" w14:textId="77777777" w:rsidR="003240B9" w:rsidRDefault="003240B9" w:rsidP="003240B9">
      <w:pPr>
        <w:pStyle w:val="ListParagraph"/>
        <w:spacing w:after="0"/>
        <w:ind w:left="0"/>
        <w:rPr>
          <w:rFonts w:ascii="Arial" w:hAnsi="Arial" w:cs="Arial"/>
          <w:sz w:val="20"/>
          <w:szCs w:val="20"/>
        </w:rPr>
      </w:pPr>
      <w:r w:rsidRPr="003240B9">
        <w:rPr>
          <w:rFonts w:ascii="Arial" w:hAnsi="Arial" w:cs="Arial"/>
          <w:sz w:val="20"/>
          <w:szCs w:val="20"/>
        </w:rPr>
        <w:t>Decision-making trial and evaluation laboratory method was invented by the Science and Human Affairs Program of the Battelle Memorial Institute of Geneva between 1972 and 1976 to study the structural relationship in complex systems (Tzeng and Chiang, 2007; Wu, 2008; Liou et al., 2007). DEMATEL is an effective method which gathers a large number of complex factors, examines the interrelationship among the system factors, and ideates this structure through causal diagram (</w:t>
      </w:r>
      <w:proofErr w:type="spellStart"/>
      <w:r w:rsidRPr="003240B9">
        <w:rPr>
          <w:rFonts w:ascii="Arial" w:hAnsi="Arial" w:cs="Arial"/>
          <w:sz w:val="20"/>
          <w:szCs w:val="20"/>
        </w:rPr>
        <w:t>Gabus</w:t>
      </w:r>
      <w:proofErr w:type="spellEnd"/>
      <w:r w:rsidRPr="003240B9">
        <w:rPr>
          <w:rFonts w:ascii="Arial" w:hAnsi="Arial" w:cs="Arial"/>
          <w:sz w:val="20"/>
          <w:szCs w:val="20"/>
        </w:rPr>
        <w:t xml:space="preserve"> and Fontela, 1972; 1973). Here fuzzy logic is applied to handle vague and ambiguous judgment from expert. Fuzzy DEMATEL approach developed to deal problems with complex interdependent factors in uncertain environment. This method is adopted to identify critical success factors (CSF) of knowledge flow in organization.</w:t>
      </w:r>
    </w:p>
    <w:p w14:paraId="300235EF" w14:textId="77777777" w:rsidR="000E04B3" w:rsidRDefault="000E04B3" w:rsidP="003240B9">
      <w:pPr>
        <w:pStyle w:val="ListParagraph"/>
        <w:spacing w:after="0"/>
        <w:ind w:left="0"/>
        <w:rPr>
          <w:rFonts w:ascii="Arial" w:hAnsi="Arial" w:cs="Arial"/>
          <w:sz w:val="20"/>
          <w:szCs w:val="20"/>
        </w:rPr>
      </w:pPr>
    </w:p>
    <w:p w14:paraId="5FDBCFF0" w14:textId="77777777" w:rsidR="000E04B3" w:rsidRPr="000E04B3" w:rsidRDefault="000E04B3" w:rsidP="000E04B3">
      <w:pPr>
        <w:autoSpaceDE w:val="0"/>
        <w:autoSpaceDN w:val="0"/>
        <w:adjustRightInd w:val="0"/>
        <w:jc w:val="both"/>
        <w:rPr>
          <w:rFonts w:ascii="Arial" w:hAnsi="Arial" w:cs="Arial"/>
          <w:sz w:val="20"/>
        </w:rPr>
      </w:pPr>
      <w:r w:rsidRPr="000E04B3">
        <w:rPr>
          <w:rFonts w:ascii="Arial" w:hAnsi="Arial" w:cs="Arial"/>
          <w:b/>
          <w:sz w:val="20"/>
        </w:rPr>
        <w:t>Step 1</w:t>
      </w:r>
      <w:r w:rsidRPr="000E04B3">
        <w:rPr>
          <w:rFonts w:ascii="Arial" w:hAnsi="Arial" w:cs="Arial"/>
          <w:sz w:val="20"/>
        </w:rPr>
        <w:t xml:space="preserve">: Generating the direct-relation matrix. The notation of </w:t>
      </w:r>
      <m:oMath>
        <m:sSub>
          <m:sSubPr>
            <m:ctrlPr>
              <w:rPr>
                <w:rFonts w:ascii="Cambria Math" w:hAnsi="Cambria Math" w:cs="Arial"/>
                <w:i/>
                <w:sz w:val="20"/>
              </w:rPr>
            </m:ctrlPr>
          </m:sSubPr>
          <m:e>
            <m:r>
              <w:rPr>
                <w:rFonts w:ascii="Cambria Math" w:hAnsi="Cambria Math" w:cs="Arial"/>
                <w:sz w:val="20"/>
              </w:rPr>
              <m:t>x</m:t>
            </m:r>
          </m:e>
          <m:sub>
            <m:r>
              <w:rPr>
                <w:rFonts w:ascii="Cambria Math" w:hAnsi="Cambria Math" w:cs="Arial"/>
                <w:sz w:val="20"/>
              </w:rPr>
              <m:t>ij</m:t>
            </m:r>
          </m:sub>
        </m:sSub>
      </m:oMath>
      <w:r w:rsidRPr="000E04B3">
        <w:rPr>
          <w:rFonts w:ascii="Arial" w:hAnsi="Arial" w:cs="Arial"/>
          <w:sz w:val="20"/>
        </w:rPr>
        <w:t xml:space="preserve"> indicates the influential level that criteria</w:t>
      </w:r>
      <m:oMath>
        <m:r>
          <w:rPr>
            <w:rFonts w:ascii="Cambria Math" w:hAnsi="Cambria Math" w:cs="Arial"/>
            <w:sz w:val="20"/>
          </w:rPr>
          <m:t xml:space="preserve"> i </m:t>
        </m:r>
      </m:oMath>
      <w:r w:rsidRPr="000E04B3">
        <w:rPr>
          <w:rFonts w:ascii="Arial" w:hAnsi="Arial" w:cs="Arial"/>
          <w:sz w:val="20"/>
        </w:rPr>
        <w:t>has on criteria</w:t>
      </w:r>
      <m:oMath>
        <m:r>
          <w:rPr>
            <w:rFonts w:ascii="Cambria Math" w:hAnsi="Cambria Math" w:cs="Arial"/>
            <w:sz w:val="20"/>
          </w:rPr>
          <m:t xml:space="preserve"> j</m:t>
        </m:r>
      </m:oMath>
      <w:r w:rsidRPr="000E04B3">
        <w:rPr>
          <w:rFonts w:ascii="Arial" w:hAnsi="Arial" w:cs="Arial"/>
          <w:sz w:val="20"/>
        </w:rPr>
        <w:t xml:space="preserve">. By averaging individual expert’s scores, the average matrix </w:t>
      </w:r>
      <m:oMath>
        <m:r>
          <w:rPr>
            <w:rFonts w:ascii="Cambria Math" w:hAnsi="Cambria Math" w:cs="Arial"/>
            <w:sz w:val="20"/>
          </w:rPr>
          <m:t>A = [a</m:t>
        </m:r>
      </m:oMath>
      <w:r w:rsidR="00C03EC6" w:rsidRPr="00C03EC6">
        <w:rPr>
          <w:rFonts w:ascii="Arial" w:eastAsiaTheme="minorEastAsia" w:hAnsi="Arial" w:cs="Arial"/>
          <w:sz w:val="20"/>
          <w:vertAlign w:val="subscript"/>
        </w:rPr>
        <w:t>ij</w:t>
      </w:r>
      <m:oMath>
        <m:r>
          <w:rPr>
            <w:rFonts w:ascii="Cambria Math" w:hAnsi="Cambria Math" w:cs="Arial"/>
            <w:sz w:val="20"/>
          </w:rPr>
          <m:t>]</m:t>
        </m:r>
      </m:oMath>
      <w:r w:rsidRPr="000E04B3">
        <w:rPr>
          <w:rFonts w:ascii="Arial" w:hAnsi="Arial" w:cs="Arial"/>
          <w:sz w:val="20"/>
        </w:rPr>
        <w:t xml:space="preserve"> can be constructed as follows:                                                           </w:t>
      </w:r>
    </w:p>
    <w:p w14:paraId="0EC51A49" w14:textId="77777777" w:rsidR="00AD1189" w:rsidRDefault="00000000" w:rsidP="00AD1189">
      <w:pPr>
        <w:tabs>
          <w:tab w:val="left" w:pos="6120"/>
          <w:tab w:val="left" w:pos="6300"/>
        </w:tabs>
        <w:autoSpaceDE w:val="0"/>
        <w:autoSpaceDN w:val="0"/>
        <w:adjustRightInd w:val="0"/>
        <w:rPr>
          <w:rFonts w:ascii="Arial" w:hAnsi="Arial" w:cs="Arial"/>
          <w:sz w:val="20"/>
        </w:rPr>
      </w:pPr>
      <m:oMath>
        <m:sSub>
          <m:sSubPr>
            <m:ctrlPr>
              <w:rPr>
                <w:rFonts w:ascii="Cambria Math" w:hAnsi="Arial" w:cs="Arial"/>
                <w:i/>
                <w:sz w:val="20"/>
              </w:rPr>
            </m:ctrlPr>
          </m:sSubPr>
          <m:e>
            <m:r>
              <w:rPr>
                <w:rFonts w:ascii="Cambria Math" w:hAnsi="Cambria Math" w:cs="Arial"/>
                <w:sz w:val="20"/>
              </w:rPr>
              <m:t>a</m:t>
            </m:r>
          </m:e>
          <m:sub>
            <m:r>
              <w:rPr>
                <w:rFonts w:ascii="Cambria Math" w:hAnsi="Cambria Math" w:cs="Arial"/>
                <w:sz w:val="20"/>
              </w:rPr>
              <m:t>ij</m:t>
            </m:r>
          </m:sub>
        </m:sSub>
        <m:r>
          <w:rPr>
            <w:rFonts w:ascii="Cambria Math" w:hAnsi="Arial" w:cs="Arial"/>
            <w:sz w:val="20"/>
          </w:rPr>
          <m:t>=</m:t>
        </m:r>
        <m:f>
          <m:fPr>
            <m:ctrlPr>
              <w:rPr>
                <w:rFonts w:ascii="Cambria Math" w:hAnsi="Arial" w:cs="Arial"/>
                <w:i/>
                <w:sz w:val="20"/>
              </w:rPr>
            </m:ctrlPr>
          </m:fPr>
          <m:num>
            <m:r>
              <w:rPr>
                <w:rFonts w:ascii="Cambria Math" w:hAnsi="Arial" w:cs="Arial"/>
                <w:sz w:val="20"/>
              </w:rPr>
              <m:t>1</m:t>
            </m:r>
          </m:num>
          <m:den>
            <m:r>
              <w:rPr>
                <w:rFonts w:ascii="Cambria Math" w:hAnsi="Cambria Math" w:cs="Arial"/>
                <w:sz w:val="20"/>
              </w:rPr>
              <m:t>H</m:t>
            </m:r>
          </m:den>
        </m:f>
        <m:nary>
          <m:naryPr>
            <m:chr m:val="∑"/>
            <m:limLoc m:val="undOvr"/>
            <m:ctrlPr>
              <w:rPr>
                <w:rFonts w:ascii="Cambria Math" w:hAnsi="Arial" w:cs="Arial"/>
                <w:i/>
                <w:sz w:val="20"/>
              </w:rPr>
            </m:ctrlPr>
          </m:naryPr>
          <m:sub>
            <m:r>
              <w:rPr>
                <w:rFonts w:ascii="Cambria Math" w:hAnsi="Cambria Math" w:cs="Arial"/>
                <w:sz w:val="20"/>
              </w:rPr>
              <m:t>k</m:t>
            </m:r>
            <m:r>
              <w:rPr>
                <w:rFonts w:ascii="Cambria Math" w:hAnsi="Arial" w:cs="Arial"/>
                <w:sz w:val="20"/>
              </w:rPr>
              <m:t>=1</m:t>
            </m:r>
          </m:sub>
          <m:sup>
            <m:r>
              <w:rPr>
                <w:rFonts w:ascii="Cambria Math" w:hAnsi="Cambria Math" w:cs="Arial"/>
                <w:sz w:val="20"/>
              </w:rPr>
              <m:t>H</m:t>
            </m:r>
          </m:sup>
          <m:e>
            <m:sSubSup>
              <m:sSubSupPr>
                <m:ctrlPr>
                  <w:rPr>
                    <w:rFonts w:ascii="Cambria Math" w:hAnsi="Arial" w:cs="Arial"/>
                    <w:i/>
                    <w:sz w:val="20"/>
                  </w:rPr>
                </m:ctrlPr>
              </m:sSubSupPr>
              <m:e>
                <m:r>
                  <w:rPr>
                    <w:rFonts w:ascii="Cambria Math" w:hAnsi="Cambria Math" w:cs="Arial"/>
                    <w:sz w:val="20"/>
                  </w:rPr>
                  <m:t>x</m:t>
                </m:r>
              </m:e>
              <m:sub>
                <m:r>
                  <w:rPr>
                    <w:rFonts w:ascii="Cambria Math" w:hAnsi="Cambria Math" w:cs="Arial"/>
                    <w:sz w:val="20"/>
                  </w:rPr>
                  <m:t>ij</m:t>
                </m:r>
              </m:sub>
              <m:sup>
                <m:r>
                  <w:rPr>
                    <w:rFonts w:ascii="Cambria Math" w:hAnsi="Cambria Math" w:cs="Arial"/>
                    <w:sz w:val="20"/>
                  </w:rPr>
                  <m:t>k</m:t>
                </m:r>
              </m:sup>
            </m:sSubSup>
          </m:e>
        </m:nary>
        <m:r>
          <w:rPr>
            <w:rFonts w:ascii="Cambria Math" w:eastAsiaTheme="minorEastAsia" w:hAnsi="Cambria Math" w:cs="Arial"/>
            <w:sz w:val="20"/>
          </w:rPr>
          <m:t xml:space="preserve">                                                   (i)</m:t>
        </m:r>
      </m:oMath>
      <w:r w:rsidR="000E04B3" w:rsidRPr="000E04B3">
        <w:rPr>
          <w:rFonts w:ascii="Arial" w:hAnsi="Arial" w:cs="Arial"/>
          <w:sz w:val="20"/>
        </w:rPr>
        <w:t xml:space="preserve">                   </w:t>
      </w:r>
    </w:p>
    <w:p w14:paraId="3A8E0BCE" w14:textId="77777777" w:rsidR="00AD1189" w:rsidRDefault="00AD1189" w:rsidP="0077023A">
      <w:pPr>
        <w:autoSpaceDE w:val="0"/>
        <w:autoSpaceDN w:val="0"/>
        <w:adjustRightInd w:val="0"/>
        <w:jc w:val="both"/>
        <w:rPr>
          <w:rFonts w:ascii="Arial" w:hAnsi="Arial" w:cs="Arial"/>
          <w:b/>
          <w:sz w:val="20"/>
        </w:rPr>
      </w:pPr>
    </w:p>
    <w:p w14:paraId="7667BAE5" w14:textId="77777777" w:rsidR="0077023A" w:rsidRPr="000E04B3" w:rsidRDefault="000E04B3" w:rsidP="0077023A">
      <w:pPr>
        <w:autoSpaceDE w:val="0"/>
        <w:autoSpaceDN w:val="0"/>
        <w:adjustRightInd w:val="0"/>
        <w:jc w:val="both"/>
        <w:rPr>
          <w:rFonts w:ascii="Arial" w:hAnsi="Arial" w:cs="Arial"/>
          <w:sz w:val="20"/>
        </w:rPr>
      </w:pPr>
      <w:r w:rsidRPr="000E04B3">
        <w:rPr>
          <w:rFonts w:ascii="Arial" w:hAnsi="Arial" w:cs="Arial"/>
          <w:b/>
          <w:sz w:val="20"/>
        </w:rPr>
        <w:t>Step 2</w:t>
      </w:r>
      <w:r w:rsidRPr="000E04B3">
        <w:rPr>
          <w:rFonts w:ascii="Arial" w:hAnsi="Arial" w:cs="Arial"/>
          <w:sz w:val="20"/>
        </w:rPr>
        <w:t xml:space="preserve">: Normalize the initial direct-relation matrix. </w:t>
      </w:r>
    </w:p>
    <w:p w14:paraId="0479D3F6" w14:textId="77777777" w:rsidR="000E04B3" w:rsidRPr="000E04B3" w:rsidRDefault="000E04B3" w:rsidP="000E04B3">
      <w:pPr>
        <w:autoSpaceDE w:val="0"/>
        <w:autoSpaceDN w:val="0"/>
        <w:adjustRightInd w:val="0"/>
        <w:jc w:val="both"/>
        <w:rPr>
          <w:rFonts w:ascii="Arial" w:hAnsi="Arial" w:cs="Arial"/>
          <w:sz w:val="20"/>
        </w:rPr>
      </w:pPr>
      <w:r w:rsidRPr="000E04B3">
        <w:rPr>
          <w:rFonts w:ascii="Arial" w:hAnsi="Arial" w:cs="Arial"/>
          <w:sz w:val="20"/>
        </w:rPr>
        <w:t>All elements in matrix D are complying with</w:t>
      </w:r>
      <m:oMath>
        <m:r>
          <w:rPr>
            <w:rFonts w:ascii="Cambria Math" w:hAnsi="Cambria Math" w:cs="Arial"/>
            <w:sz w:val="20"/>
          </w:rPr>
          <m:t xml:space="preserve"> 0≤</m:t>
        </m:r>
        <m:sSub>
          <m:sSubPr>
            <m:ctrlPr>
              <w:rPr>
                <w:rFonts w:ascii="Cambria Math" w:eastAsiaTheme="minorEastAsia" w:hAnsi="Cambria Math" w:cs="Arial"/>
                <w:i/>
                <w:sz w:val="20"/>
                <w:vertAlign w:val="subscript"/>
              </w:rPr>
            </m:ctrlPr>
          </m:sSubPr>
          <m:e>
            <m:r>
              <w:rPr>
                <w:rFonts w:ascii="Cambria Math" w:eastAsiaTheme="minorEastAsia" w:hAnsi="Cambria Math" w:cs="Arial"/>
                <w:sz w:val="20"/>
                <w:vertAlign w:val="subscript"/>
              </w:rPr>
              <m:t>d</m:t>
            </m:r>
          </m:e>
          <m:sub>
            <m:r>
              <w:rPr>
                <w:rFonts w:ascii="Cambria Math" w:eastAsiaTheme="minorEastAsia" w:hAnsi="Cambria Math" w:cs="Arial"/>
                <w:sz w:val="20"/>
                <w:vertAlign w:val="subscript"/>
              </w:rPr>
              <m:t>ij</m:t>
            </m:r>
          </m:sub>
        </m:sSub>
        <m:r>
          <w:rPr>
            <w:rFonts w:ascii="Cambria Math" w:hAnsi="Cambria Math" w:cs="Arial"/>
            <w:sz w:val="20"/>
          </w:rPr>
          <m:t>≤1</m:t>
        </m:r>
      </m:oMath>
      <w:r w:rsidRPr="000E04B3">
        <w:rPr>
          <w:rFonts w:ascii="Arial" w:hAnsi="Arial" w:cs="Arial"/>
          <w:sz w:val="20"/>
        </w:rPr>
        <w:t xml:space="preserve">, and all principal diagonal elements are equal to zero.                                                                                                                                                   </w:t>
      </w:r>
    </w:p>
    <w:p w14:paraId="50C54614" w14:textId="77777777" w:rsidR="000E04B3" w:rsidRDefault="000E04B3" w:rsidP="000E04B3">
      <w:pPr>
        <w:autoSpaceDE w:val="0"/>
        <w:autoSpaceDN w:val="0"/>
        <w:adjustRightInd w:val="0"/>
        <w:jc w:val="both"/>
        <w:rPr>
          <w:rFonts w:ascii="Arial" w:eastAsiaTheme="minorEastAsia" w:hAnsi="Arial" w:cs="Arial"/>
          <w:sz w:val="20"/>
        </w:rPr>
      </w:pPr>
    </w:p>
    <w:p w14:paraId="3B1E5292" w14:textId="77777777" w:rsidR="00F01558" w:rsidRDefault="000E04B3" w:rsidP="0077023A">
      <w:pPr>
        <w:tabs>
          <w:tab w:val="left" w:pos="6300"/>
          <w:tab w:val="left" w:pos="6750"/>
          <w:tab w:val="left" w:pos="7200"/>
        </w:tabs>
        <w:autoSpaceDE w:val="0"/>
        <w:autoSpaceDN w:val="0"/>
        <w:adjustRightInd w:val="0"/>
        <w:rPr>
          <w:rFonts w:ascii="Arial" w:hAnsi="Arial" w:cs="Arial"/>
          <w:sz w:val="20"/>
        </w:rPr>
      </w:pPr>
      <m:oMath>
        <m:r>
          <w:rPr>
            <w:rFonts w:ascii="Cambria Math" w:eastAsiaTheme="minorEastAsia" w:hAnsi="Cambria Math" w:cs="Arial"/>
            <w:sz w:val="20"/>
          </w:rPr>
          <m:t>D=</m:t>
        </m:r>
        <m:f>
          <m:fPr>
            <m:ctrlPr>
              <w:rPr>
                <w:rFonts w:ascii="Cambria Math" w:eastAsiaTheme="minorEastAsia" w:hAnsi="Cambria Math" w:cs="Arial"/>
                <w:i/>
                <w:sz w:val="20"/>
              </w:rPr>
            </m:ctrlPr>
          </m:fPr>
          <m:num>
            <m:r>
              <w:rPr>
                <w:rFonts w:ascii="Cambria Math" w:eastAsiaTheme="minorEastAsia" w:hAnsi="Cambria Math" w:cs="Arial"/>
                <w:sz w:val="20"/>
              </w:rPr>
              <m:t>S</m:t>
            </m:r>
          </m:num>
          <m:den>
            <m:func>
              <m:funcPr>
                <m:ctrlPr>
                  <w:rPr>
                    <w:rFonts w:ascii="Cambria Math" w:eastAsiaTheme="minorEastAsia" w:hAnsi="Cambria Math" w:cs="Arial"/>
                    <w:i/>
                    <w:sz w:val="20"/>
                  </w:rPr>
                </m:ctrlPr>
              </m:funcPr>
              <m:fName>
                <m:limLow>
                  <m:limLowPr>
                    <m:ctrlPr>
                      <w:rPr>
                        <w:rFonts w:ascii="Cambria Math" w:eastAsiaTheme="minorEastAsia" w:hAnsi="Cambria Math" w:cs="Arial"/>
                        <w:i/>
                        <w:sz w:val="20"/>
                      </w:rPr>
                    </m:ctrlPr>
                  </m:limLowPr>
                  <m:e>
                    <m:r>
                      <m:rPr>
                        <m:sty m:val="p"/>
                      </m:rPr>
                      <w:rPr>
                        <w:rFonts w:ascii="Cambria Math" w:hAnsi="Cambria Math" w:cs="Arial"/>
                        <w:sz w:val="20"/>
                      </w:rPr>
                      <m:t>max</m:t>
                    </m:r>
                  </m:e>
                  <m:lim>
                    <m:r>
                      <w:rPr>
                        <w:rFonts w:ascii="Cambria Math" w:eastAsia="Cambria Math" w:hAnsi="Arial" w:cs="Arial"/>
                        <w:sz w:val="20"/>
                      </w:rPr>
                      <m:t>1</m:t>
                    </m:r>
                    <m:r>
                      <w:rPr>
                        <w:rFonts w:ascii="Cambria Math" w:eastAsia="Cambria Math" w:hAnsi="Arial" w:cs="Arial"/>
                        <w:sz w:val="20"/>
                      </w:rPr>
                      <m:t>≤</m:t>
                    </m:r>
                    <m:r>
                      <w:rPr>
                        <w:rFonts w:ascii="Cambria Math" w:eastAsia="Cambria Math" w:hAnsi="Cambria Math" w:cs="Arial"/>
                        <w:sz w:val="20"/>
                      </w:rPr>
                      <m:t>i</m:t>
                    </m:r>
                    <m:r>
                      <w:rPr>
                        <w:rFonts w:ascii="Cambria Math" w:eastAsia="Cambria Math" w:hAnsi="Arial" w:cs="Arial"/>
                        <w:sz w:val="20"/>
                      </w:rPr>
                      <m:t>≤</m:t>
                    </m:r>
                    <m:r>
                      <w:rPr>
                        <w:rFonts w:ascii="Cambria Math" w:eastAsia="Cambria Math" w:hAnsi="Cambria Math" w:cs="Arial"/>
                        <w:sz w:val="20"/>
                      </w:rPr>
                      <m:t>n</m:t>
                    </m:r>
                  </m:lim>
                </m:limLow>
              </m:fName>
              <m:e>
                <m:nary>
                  <m:naryPr>
                    <m:chr m:val="∑"/>
                    <m:limLoc m:val="subSup"/>
                    <m:ctrlPr>
                      <w:rPr>
                        <w:rFonts w:ascii="Cambria Math" w:eastAsia="Cambria Math" w:hAnsi="Arial" w:cs="Arial"/>
                        <w:i/>
                        <w:sz w:val="20"/>
                      </w:rPr>
                    </m:ctrlPr>
                  </m:naryPr>
                  <m:sub>
                    <m:r>
                      <w:rPr>
                        <w:rFonts w:ascii="Cambria Math" w:eastAsia="Cambria Math" w:hAnsi="Cambria Math" w:cs="Arial"/>
                        <w:sz w:val="20"/>
                      </w:rPr>
                      <m:t>j</m:t>
                    </m:r>
                    <m:r>
                      <w:rPr>
                        <w:rFonts w:ascii="Cambria Math" w:eastAsia="Cambria Math" w:hAnsi="Arial" w:cs="Arial"/>
                        <w:sz w:val="20"/>
                      </w:rPr>
                      <m:t>=1</m:t>
                    </m:r>
                  </m:sub>
                  <m:sup>
                    <m:r>
                      <w:rPr>
                        <w:rFonts w:ascii="Cambria Math" w:eastAsia="Cambria Math" w:hAnsi="Cambria Math" w:cs="Arial"/>
                        <w:sz w:val="20"/>
                      </w:rPr>
                      <m:t>n</m:t>
                    </m:r>
                  </m:sup>
                  <m:e>
                    <m:sSub>
                      <m:sSubPr>
                        <m:ctrlPr>
                          <w:rPr>
                            <w:rFonts w:ascii="Cambria Math" w:eastAsia="Cambria Math" w:hAnsi="Arial" w:cs="Arial"/>
                            <w:i/>
                            <w:sz w:val="20"/>
                          </w:rPr>
                        </m:ctrlPr>
                      </m:sSubPr>
                      <m:e>
                        <m:r>
                          <w:rPr>
                            <w:rFonts w:ascii="Cambria Math" w:eastAsia="Cambria Math" w:hAnsi="Cambria Math" w:cs="Arial"/>
                            <w:sz w:val="20"/>
                          </w:rPr>
                          <m:t>α</m:t>
                        </m:r>
                      </m:e>
                      <m:sub>
                        <m:r>
                          <w:rPr>
                            <w:rFonts w:ascii="Cambria Math" w:eastAsia="Cambria Math" w:hAnsi="Cambria Math" w:cs="Arial"/>
                            <w:sz w:val="20"/>
                          </w:rPr>
                          <m:t>ij</m:t>
                        </m:r>
                      </m:sub>
                    </m:sSub>
                  </m:e>
                </m:nary>
              </m:e>
            </m:func>
          </m:den>
        </m:f>
        <m:r>
          <w:rPr>
            <w:rFonts w:ascii="Cambria Math" w:eastAsiaTheme="minorEastAsia" w:hAnsi="Cambria Math" w:cs="Arial"/>
            <w:sz w:val="20"/>
          </w:rPr>
          <m:t xml:space="preserve">                                              (ii)</m:t>
        </m:r>
      </m:oMath>
      <w:r w:rsidRPr="000E04B3">
        <w:rPr>
          <w:rFonts w:ascii="Arial" w:hAnsi="Arial" w:cs="Arial"/>
          <w:sz w:val="20"/>
        </w:rPr>
        <w:t xml:space="preserve">                      </w:t>
      </w:r>
    </w:p>
    <w:p w14:paraId="155274B2" w14:textId="77777777" w:rsidR="000E04B3" w:rsidRPr="000E04B3" w:rsidRDefault="000E04B3" w:rsidP="0077023A">
      <w:pPr>
        <w:tabs>
          <w:tab w:val="left" w:pos="6300"/>
          <w:tab w:val="left" w:pos="6750"/>
          <w:tab w:val="left" w:pos="7200"/>
        </w:tabs>
        <w:autoSpaceDE w:val="0"/>
        <w:autoSpaceDN w:val="0"/>
        <w:adjustRightInd w:val="0"/>
        <w:rPr>
          <w:rFonts w:ascii="Arial" w:hAnsi="Arial" w:cs="Arial"/>
          <w:sz w:val="20"/>
        </w:rPr>
      </w:pPr>
      <w:r w:rsidRPr="000E04B3">
        <w:rPr>
          <w:rFonts w:ascii="Arial" w:hAnsi="Arial" w:cs="Arial"/>
          <w:sz w:val="20"/>
        </w:rPr>
        <w:t xml:space="preserve">                                                                                                                                 </w:t>
      </w:r>
    </w:p>
    <w:p w14:paraId="17539959" w14:textId="77777777" w:rsidR="000E04B3" w:rsidRPr="000E04B3" w:rsidRDefault="000E04B3" w:rsidP="000E04B3">
      <w:pPr>
        <w:autoSpaceDE w:val="0"/>
        <w:autoSpaceDN w:val="0"/>
        <w:adjustRightInd w:val="0"/>
        <w:jc w:val="both"/>
        <w:rPr>
          <w:rFonts w:ascii="Arial" w:hAnsi="Arial" w:cs="Arial"/>
          <w:i/>
          <w:sz w:val="20"/>
        </w:rPr>
      </w:pPr>
      <w:r w:rsidRPr="000E04B3">
        <w:rPr>
          <w:rFonts w:ascii="Arial" w:hAnsi="Arial" w:cs="Arial"/>
          <w:b/>
          <w:sz w:val="20"/>
        </w:rPr>
        <w:t>Step 3</w:t>
      </w:r>
      <w:r w:rsidRPr="000E04B3">
        <w:rPr>
          <w:rFonts w:ascii="Arial" w:hAnsi="Arial" w:cs="Arial"/>
          <w:sz w:val="20"/>
        </w:rPr>
        <w:t xml:space="preserve">: Calculate the total relation matrix. Once the normalized direct-relation matrix </w:t>
      </w:r>
      <m:oMath>
        <m:r>
          <w:rPr>
            <w:rFonts w:ascii="Cambria Math" w:hAnsi="Cambria Math" w:cs="Arial"/>
            <w:sz w:val="20"/>
          </w:rPr>
          <m:t>X</m:t>
        </m:r>
      </m:oMath>
      <w:r w:rsidRPr="000E04B3">
        <w:rPr>
          <w:rFonts w:ascii="Arial" w:hAnsi="Arial" w:cs="Arial"/>
          <w:i/>
          <w:iCs/>
          <w:sz w:val="20"/>
        </w:rPr>
        <w:t xml:space="preserve"> </w:t>
      </w:r>
      <w:r w:rsidRPr="000E04B3">
        <w:rPr>
          <w:rFonts w:ascii="Arial" w:hAnsi="Arial" w:cs="Arial"/>
          <w:sz w:val="20"/>
        </w:rPr>
        <w:t xml:space="preserve">is obtained, the total-influence matrix </w:t>
      </w:r>
      <m:oMath>
        <m:r>
          <w:rPr>
            <w:rFonts w:ascii="Cambria Math" w:hAnsi="Cambria Math" w:cs="Arial"/>
            <w:sz w:val="20"/>
          </w:rPr>
          <m:t>T</m:t>
        </m:r>
      </m:oMath>
      <w:r w:rsidRPr="000E04B3">
        <w:rPr>
          <w:rFonts w:ascii="Arial" w:hAnsi="Arial" w:cs="Arial"/>
          <w:i/>
          <w:iCs/>
          <w:sz w:val="20"/>
        </w:rPr>
        <w:t xml:space="preserve"> </w:t>
      </w:r>
      <w:r w:rsidRPr="000E04B3">
        <w:rPr>
          <w:rFonts w:ascii="Arial" w:hAnsi="Arial" w:cs="Arial"/>
          <w:sz w:val="20"/>
        </w:rPr>
        <w:t xml:space="preserve">can be acquired by using Equation </w:t>
      </w:r>
      <m:oMath>
        <m:r>
          <w:rPr>
            <w:rFonts w:ascii="Cambria Math" w:hAnsi="Cambria Math" w:cs="Arial"/>
            <w:sz w:val="20"/>
          </w:rPr>
          <m:t>(iii)</m:t>
        </m:r>
      </m:oMath>
      <w:r w:rsidRPr="000E04B3">
        <w:rPr>
          <w:rFonts w:ascii="Arial" w:hAnsi="Arial" w:cs="Arial"/>
          <w:sz w:val="20"/>
        </w:rPr>
        <w:t xml:space="preserve"> in which </w:t>
      </w:r>
      <m:oMath>
        <m:r>
          <w:rPr>
            <w:rFonts w:ascii="Cambria Math" w:hAnsi="Cambria Math" w:cs="Arial"/>
            <w:sz w:val="20"/>
          </w:rPr>
          <m:t>I</m:t>
        </m:r>
      </m:oMath>
      <w:r w:rsidRPr="000E04B3">
        <w:rPr>
          <w:rFonts w:ascii="Arial" w:hAnsi="Arial" w:cs="Arial"/>
          <w:sz w:val="20"/>
        </w:rPr>
        <w:t xml:space="preserve"> is an n × n identity matrix. The element </w:t>
      </w:r>
      <m:oMath>
        <m:sSub>
          <m:sSubPr>
            <m:ctrlPr>
              <w:rPr>
                <w:rFonts w:ascii="Cambria Math" w:hAnsi="Cambria Math" w:cs="Arial"/>
                <w:i/>
                <w:sz w:val="20"/>
              </w:rPr>
            </m:ctrlPr>
          </m:sSubPr>
          <m:e>
            <m:r>
              <w:rPr>
                <w:rFonts w:ascii="Cambria Math" w:hAnsi="Cambria Math" w:cs="Arial"/>
                <w:sz w:val="20"/>
              </w:rPr>
              <m:t>T</m:t>
            </m:r>
          </m:e>
          <m:sub>
            <m:r>
              <w:rPr>
                <w:rFonts w:ascii="Cambria Math" w:hAnsi="Cambria Math" w:cs="Arial"/>
                <w:sz w:val="20"/>
              </w:rPr>
              <m:t>ij</m:t>
            </m:r>
          </m:sub>
        </m:sSub>
      </m:oMath>
      <w:r w:rsidRPr="000E04B3">
        <w:rPr>
          <w:rFonts w:ascii="Arial" w:hAnsi="Arial" w:cs="Arial"/>
          <w:sz w:val="20"/>
        </w:rPr>
        <w:t xml:space="preserve"> indicates the indirect effects that factor</w:t>
      </w:r>
      <m:oMath>
        <m:r>
          <w:rPr>
            <w:rFonts w:ascii="Cambria Math" w:hAnsi="Cambria Math" w:cs="Arial"/>
            <w:sz w:val="20"/>
          </w:rPr>
          <m:t xml:space="preserve"> i </m:t>
        </m:r>
      </m:oMath>
      <w:r w:rsidRPr="000E04B3">
        <w:rPr>
          <w:rFonts w:ascii="Arial" w:hAnsi="Arial" w:cs="Arial"/>
          <w:sz w:val="20"/>
        </w:rPr>
        <w:t>have on factor</w:t>
      </w:r>
      <m:oMath>
        <m:r>
          <w:rPr>
            <w:rFonts w:ascii="Cambria Math" w:hAnsi="Cambria Math" w:cs="Arial"/>
            <w:sz w:val="20"/>
          </w:rPr>
          <m:t xml:space="preserve"> j</m:t>
        </m:r>
      </m:oMath>
      <w:r w:rsidRPr="000E04B3">
        <w:rPr>
          <w:rFonts w:ascii="Arial" w:hAnsi="Arial" w:cs="Arial"/>
          <w:sz w:val="20"/>
        </w:rPr>
        <w:t xml:space="preserve">, so the matrix </w:t>
      </w:r>
      <m:oMath>
        <m:r>
          <w:rPr>
            <w:rFonts w:ascii="Cambria Math" w:hAnsi="Cambria Math" w:cs="Arial"/>
            <w:sz w:val="20"/>
          </w:rPr>
          <m:t>T</m:t>
        </m:r>
      </m:oMath>
      <w:r w:rsidRPr="000E04B3">
        <w:rPr>
          <w:rFonts w:ascii="Arial" w:hAnsi="Arial" w:cs="Arial"/>
          <w:sz w:val="20"/>
        </w:rPr>
        <w:t xml:space="preserve"> can reflect the total relationship between each pair of system factors</w:t>
      </w:r>
      <w:r w:rsidRPr="000E04B3">
        <w:rPr>
          <w:rFonts w:ascii="Arial" w:hAnsi="Arial" w:cs="Arial"/>
          <w:i/>
          <w:sz w:val="20"/>
        </w:rPr>
        <w:t xml:space="preserve">     </w:t>
      </w:r>
    </w:p>
    <w:p w14:paraId="7D2EA626" w14:textId="77777777" w:rsidR="0077023A" w:rsidRDefault="0077023A" w:rsidP="000E04B3">
      <w:pPr>
        <w:autoSpaceDE w:val="0"/>
        <w:autoSpaceDN w:val="0"/>
        <w:adjustRightInd w:val="0"/>
        <w:jc w:val="both"/>
        <w:rPr>
          <w:rFonts w:ascii="Arial" w:hAnsi="Arial" w:cs="Arial"/>
          <w:i/>
          <w:sz w:val="20"/>
        </w:rPr>
      </w:pPr>
    </w:p>
    <w:p w14:paraId="01A8F034" w14:textId="77777777" w:rsidR="000E04B3" w:rsidRDefault="0077023A" w:rsidP="0077023A">
      <w:pPr>
        <w:tabs>
          <w:tab w:val="left" w:pos="6210"/>
          <w:tab w:val="left" w:pos="6300"/>
        </w:tabs>
        <w:autoSpaceDE w:val="0"/>
        <w:autoSpaceDN w:val="0"/>
        <w:adjustRightInd w:val="0"/>
        <w:rPr>
          <w:rFonts w:ascii="Arial" w:eastAsiaTheme="minorEastAsia" w:hAnsi="Arial" w:cs="Arial"/>
          <w:sz w:val="20"/>
        </w:rPr>
      </w:pPr>
      <m:oMathPara>
        <m:oMath>
          <m:r>
            <w:rPr>
              <w:rFonts w:ascii="Cambria Math" w:hAnsi="Cambria Math" w:cs="Arial"/>
              <w:sz w:val="20"/>
            </w:rPr>
            <m:t>T=</m:t>
          </m:r>
          <m:sSup>
            <m:sSupPr>
              <m:ctrlPr>
                <w:rPr>
                  <w:rFonts w:ascii="Cambria Math" w:eastAsiaTheme="minorEastAsia" w:hAnsi="Cambria Math" w:cs="Arial"/>
                  <w:i/>
                  <w:sz w:val="20"/>
                </w:rPr>
              </m:ctrlPr>
            </m:sSupPr>
            <m:e>
              <m:r>
                <w:rPr>
                  <w:rFonts w:ascii="Cambria Math" w:hAnsi="Cambria Math" w:cs="Arial"/>
                  <w:sz w:val="20"/>
                </w:rPr>
                <m:t>D</m:t>
              </m:r>
              <m:d>
                <m:dPr>
                  <m:ctrlPr>
                    <w:rPr>
                      <w:rFonts w:ascii="Cambria Math" w:hAnsi="Cambria Math" w:cs="Arial"/>
                      <w:i/>
                      <w:sz w:val="20"/>
                    </w:rPr>
                  </m:ctrlPr>
                </m:dPr>
                <m:e>
                  <m:r>
                    <w:rPr>
                      <w:rFonts w:ascii="Cambria Math" w:hAnsi="Cambria Math" w:cs="Arial"/>
                      <w:sz w:val="20"/>
                    </w:rPr>
                    <m:t>I-D</m:t>
                  </m:r>
                </m:e>
              </m:d>
            </m:e>
            <m:sup>
              <m:r>
                <w:rPr>
                  <w:rFonts w:ascii="Cambria Math" w:eastAsiaTheme="minorEastAsia" w:hAnsi="Cambria Math" w:cs="Arial"/>
                  <w:sz w:val="20"/>
                </w:rPr>
                <m:t>-1</m:t>
              </m:r>
            </m:sup>
          </m:sSup>
          <m:r>
            <w:rPr>
              <w:rFonts w:ascii="Cambria Math" w:eastAsiaTheme="minorEastAsia" w:hAnsi="Cambria Math" w:cs="Arial"/>
              <w:sz w:val="20"/>
            </w:rPr>
            <m:t xml:space="preserve">                                                        (iii)</m:t>
          </m:r>
        </m:oMath>
      </m:oMathPara>
    </w:p>
    <w:p w14:paraId="491399B0" w14:textId="77777777" w:rsidR="00AD1189" w:rsidRPr="000E04B3" w:rsidRDefault="00AD1189" w:rsidP="0077023A">
      <w:pPr>
        <w:tabs>
          <w:tab w:val="left" w:pos="6210"/>
          <w:tab w:val="left" w:pos="6300"/>
        </w:tabs>
        <w:autoSpaceDE w:val="0"/>
        <w:autoSpaceDN w:val="0"/>
        <w:adjustRightInd w:val="0"/>
        <w:rPr>
          <w:rFonts w:ascii="Arial" w:hAnsi="Arial" w:cs="Arial"/>
          <w:sz w:val="20"/>
        </w:rPr>
      </w:pPr>
    </w:p>
    <w:p w14:paraId="0FFBC185" w14:textId="77777777" w:rsidR="000E04B3" w:rsidRPr="000E04B3" w:rsidRDefault="000E04B3" w:rsidP="000E04B3">
      <w:pPr>
        <w:autoSpaceDE w:val="0"/>
        <w:autoSpaceDN w:val="0"/>
        <w:adjustRightInd w:val="0"/>
        <w:jc w:val="both"/>
        <w:rPr>
          <w:rFonts w:ascii="Arial" w:hAnsi="Arial" w:cs="Arial"/>
          <w:sz w:val="20"/>
        </w:rPr>
      </w:pPr>
      <w:r w:rsidRPr="000E04B3">
        <w:rPr>
          <w:rFonts w:ascii="Arial" w:hAnsi="Arial" w:cs="Arial"/>
          <w:b/>
          <w:sz w:val="20"/>
        </w:rPr>
        <w:t>Step 4</w:t>
      </w:r>
      <w:r w:rsidRPr="000E04B3">
        <w:rPr>
          <w:rFonts w:ascii="Arial" w:hAnsi="Arial" w:cs="Arial"/>
          <w:sz w:val="20"/>
        </w:rPr>
        <w:t>:</w:t>
      </w:r>
      <w:r w:rsidRPr="000E04B3">
        <w:rPr>
          <w:rFonts w:ascii="Arial" w:hAnsi="Arial" w:cs="Arial"/>
          <w:sz w:val="12"/>
          <w:szCs w:val="16"/>
        </w:rPr>
        <w:t xml:space="preserve"> </w:t>
      </w:r>
      <w:r w:rsidRPr="000E04B3">
        <w:rPr>
          <w:rFonts w:ascii="Arial" w:hAnsi="Arial" w:cs="Arial"/>
          <w:sz w:val="20"/>
        </w:rPr>
        <w:t>Define</w:t>
      </w:r>
      <w:r w:rsidR="00C40D0F">
        <w:rPr>
          <w:rFonts w:ascii="Arial" w:eastAsiaTheme="minorEastAsia" w:hAnsi="Arial" w:cs="Arial"/>
          <w:sz w:val="20"/>
        </w:rPr>
        <w:t xml:space="preserve"> </w:t>
      </w:r>
      <m:oMath>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i</m:t>
            </m:r>
          </m:sub>
        </m:sSub>
      </m:oMath>
      <w:r w:rsidRPr="000E04B3">
        <w:rPr>
          <w:rFonts w:ascii="Arial" w:hAnsi="Arial" w:cs="Arial"/>
          <w:sz w:val="20"/>
          <w:vertAlign w:val="subscript"/>
        </w:rPr>
        <w:t xml:space="preserve"> </w:t>
      </w:r>
      <w:r w:rsidRPr="000E04B3">
        <w:rPr>
          <w:rFonts w:ascii="Arial" w:hAnsi="Arial" w:cs="Arial"/>
          <w:sz w:val="20"/>
        </w:rPr>
        <w:t xml:space="preserve">and </w:t>
      </w:r>
      <m:oMath>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j</m:t>
            </m:r>
          </m:sub>
        </m:sSub>
      </m:oMath>
      <w:r w:rsidR="00C40D0F" w:rsidRPr="000E04B3">
        <w:rPr>
          <w:rFonts w:ascii="Arial" w:hAnsi="Arial" w:cs="Arial"/>
          <w:sz w:val="20"/>
          <w:vertAlign w:val="subscript"/>
        </w:rPr>
        <w:t xml:space="preserve"> </w:t>
      </w:r>
      <w:r w:rsidRPr="000E04B3">
        <w:rPr>
          <w:rFonts w:ascii="Arial" w:hAnsi="Arial" w:cs="Arial"/>
          <w:sz w:val="20"/>
          <w:vertAlign w:val="subscript"/>
        </w:rPr>
        <w:t xml:space="preserve"> </w:t>
      </w:r>
      <w:r w:rsidRPr="000E04B3">
        <w:rPr>
          <w:rFonts w:ascii="Arial" w:hAnsi="Arial" w:cs="Arial"/>
          <w:sz w:val="20"/>
        </w:rPr>
        <w:t xml:space="preserve">be </w:t>
      </w:r>
      <m:oMath>
        <m:r>
          <w:rPr>
            <w:rFonts w:ascii="Cambria Math" w:hAnsi="Cambria Math" w:cs="Arial"/>
            <w:sz w:val="20"/>
          </w:rPr>
          <m:t>n × 1</m:t>
        </m:r>
      </m:oMath>
      <w:r w:rsidRPr="000E04B3">
        <w:rPr>
          <w:rFonts w:ascii="Arial" w:hAnsi="Arial" w:cs="Arial"/>
          <w:sz w:val="20"/>
        </w:rPr>
        <w:t xml:space="preserve"> and </w:t>
      </w:r>
      <m:oMath>
        <m:r>
          <w:rPr>
            <w:rFonts w:ascii="Cambria Math" w:hAnsi="Cambria Math" w:cs="Arial"/>
            <w:sz w:val="20"/>
          </w:rPr>
          <m:t>1 × n</m:t>
        </m:r>
      </m:oMath>
      <w:r w:rsidRPr="000E04B3">
        <w:rPr>
          <w:rFonts w:ascii="Arial" w:hAnsi="Arial" w:cs="Arial"/>
          <w:sz w:val="20"/>
        </w:rPr>
        <w:t xml:space="preserve"> vectors representing the sum of rows and sum of columns of the total relation matrix</w:t>
      </w:r>
      <m:oMath>
        <m:r>
          <w:rPr>
            <w:rFonts w:ascii="Cambria Math" w:hAnsi="Cambria Math" w:cs="Arial"/>
            <w:sz w:val="20"/>
          </w:rPr>
          <m:t xml:space="preserve"> T</m:t>
        </m:r>
      </m:oMath>
      <w:r w:rsidR="00F01558">
        <w:rPr>
          <w:rFonts w:ascii="Arial" w:hAnsi="Arial" w:cs="Arial"/>
          <w:sz w:val="20"/>
        </w:rPr>
        <w:t>, respectively through Eq.</w:t>
      </w:r>
      <m:oMath>
        <m:r>
          <w:rPr>
            <w:rFonts w:ascii="Cambria Math" w:hAnsi="Cambria Math" w:cs="Arial"/>
            <w:sz w:val="20"/>
          </w:rPr>
          <m:t>(iv to vi)</m:t>
        </m:r>
      </m:oMath>
      <w:r w:rsidRPr="000E04B3">
        <w:rPr>
          <w:rFonts w:ascii="Arial" w:hAnsi="Arial" w:cs="Arial"/>
          <w:sz w:val="20"/>
        </w:rPr>
        <w:t xml:space="preserve">. The sum of row </w:t>
      </w:r>
      <m:oMath>
        <m:r>
          <w:rPr>
            <w:rFonts w:ascii="Cambria Math" w:hAnsi="Cambria Math" w:cs="Arial"/>
            <w:sz w:val="20"/>
          </w:rPr>
          <m:t>i</m:t>
        </m:r>
      </m:oMath>
      <w:r w:rsidRPr="000E04B3">
        <w:rPr>
          <w:rFonts w:ascii="Arial" w:hAnsi="Arial" w:cs="Arial"/>
          <w:sz w:val="20"/>
        </w:rPr>
        <w:t xml:space="preserve">, which is denoted as </w:t>
      </w:r>
      <m:oMath>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i</m:t>
            </m:r>
          </m:sub>
        </m:sSub>
      </m:oMath>
      <w:r w:rsidRPr="000E04B3">
        <w:rPr>
          <w:rFonts w:ascii="Arial" w:hAnsi="Arial" w:cs="Arial"/>
          <w:sz w:val="20"/>
        </w:rPr>
        <w:t xml:space="preserve">, represents all direct and indirect influence given by factor </w:t>
      </w:r>
      <m:oMath>
        <m:r>
          <w:rPr>
            <w:rFonts w:ascii="Cambria Math" w:hAnsi="Cambria Math" w:cs="Arial"/>
            <w:sz w:val="20"/>
          </w:rPr>
          <m:t>i</m:t>
        </m:r>
      </m:oMath>
      <w:r w:rsidRPr="000E04B3">
        <w:rPr>
          <w:rFonts w:ascii="Arial" w:hAnsi="Arial" w:cs="Arial"/>
          <w:sz w:val="20"/>
        </w:rPr>
        <w:t xml:space="preserve"> to all other factors, and so </w:t>
      </w:r>
      <m:oMath>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i</m:t>
            </m:r>
          </m:sub>
        </m:sSub>
      </m:oMath>
      <w:r w:rsidRPr="000E04B3">
        <w:rPr>
          <w:rFonts w:ascii="Arial" w:hAnsi="Arial" w:cs="Arial"/>
          <w:sz w:val="20"/>
        </w:rPr>
        <w:t xml:space="preserve"> can be called the degree of influential impact. Similarly, the sum of column</w:t>
      </w:r>
      <m:oMath>
        <m:r>
          <w:rPr>
            <w:rFonts w:ascii="Cambria Math" w:eastAsiaTheme="minorEastAsia" w:hAnsi="Cambria Math" w:cs="Arial"/>
            <w:sz w:val="20"/>
          </w:rPr>
          <m:t xml:space="preserve"> </m:t>
        </m:r>
        <m:r>
          <w:rPr>
            <w:rFonts w:ascii="Cambria Math" w:hAnsi="Cambria Math" w:cs="Arial"/>
            <w:sz w:val="20"/>
          </w:rPr>
          <m:t>j</m:t>
        </m:r>
      </m:oMath>
      <w:r w:rsidRPr="000E04B3">
        <w:rPr>
          <w:rFonts w:ascii="Arial" w:hAnsi="Arial" w:cs="Arial"/>
          <w:sz w:val="20"/>
        </w:rPr>
        <w:t xml:space="preserve">, which is denoted as </w:t>
      </w:r>
      <m:oMath>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j</m:t>
            </m:r>
          </m:sub>
        </m:sSub>
      </m:oMath>
      <w:r w:rsidRPr="000E04B3">
        <w:rPr>
          <w:rFonts w:ascii="Arial" w:hAnsi="Arial" w:cs="Arial"/>
          <w:sz w:val="20"/>
          <w:vertAlign w:val="subscript"/>
        </w:rPr>
        <w:t xml:space="preserve"> </w:t>
      </w:r>
      <w:r w:rsidRPr="000E04B3">
        <w:rPr>
          <w:rFonts w:ascii="Arial" w:hAnsi="Arial" w:cs="Arial"/>
          <w:sz w:val="20"/>
        </w:rPr>
        <w:t xml:space="preserve">can be called as the degree of influenced impact, since </w:t>
      </w:r>
      <m:oMath>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j</m:t>
            </m:r>
          </m:sub>
        </m:sSub>
      </m:oMath>
      <w:r w:rsidR="00C40D0F" w:rsidRPr="000E04B3">
        <w:rPr>
          <w:rFonts w:ascii="Arial" w:hAnsi="Arial" w:cs="Arial"/>
          <w:sz w:val="20"/>
          <w:vertAlign w:val="subscript"/>
        </w:rPr>
        <w:t xml:space="preserve"> </w:t>
      </w:r>
      <w:r w:rsidRPr="000E04B3">
        <w:rPr>
          <w:rFonts w:ascii="Arial" w:hAnsi="Arial" w:cs="Arial"/>
          <w:sz w:val="20"/>
        </w:rPr>
        <w:t>summarizes both direct and indirect impact received by factor j from all other factors.</w:t>
      </w:r>
    </w:p>
    <w:p w14:paraId="483BBC52" w14:textId="77777777" w:rsidR="000E04B3" w:rsidRPr="000E04B3" w:rsidRDefault="000E04B3" w:rsidP="000E04B3">
      <w:pPr>
        <w:autoSpaceDE w:val="0"/>
        <w:autoSpaceDN w:val="0"/>
        <w:adjustRightInd w:val="0"/>
        <w:jc w:val="both"/>
        <w:rPr>
          <w:rFonts w:ascii="Arial" w:hAnsi="Arial" w:cs="Arial"/>
          <w:sz w:val="20"/>
        </w:rPr>
      </w:pPr>
    </w:p>
    <w:p w14:paraId="36B467B0" w14:textId="77777777" w:rsidR="000E04B3" w:rsidRDefault="000E04B3" w:rsidP="0077023A">
      <w:pPr>
        <w:autoSpaceDE w:val="0"/>
        <w:autoSpaceDN w:val="0"/>
        <w:adjustRightInd w:val="0"/>
        <w:rPr>
          <w:rFonts w:ascii="Arial" w:eastAsiaTheme="minorEastAsia" w:hAnsi="Arial" w:cs="Arial"/>
          <w:sz w:val="20"/>
        </w:rPr>
      </w:pPr>
      <m:oMathPara>
        <m:oMath>
          <m:r>
            <w:rPr>
              <w:rFonts w:ascii="Cambria Math" w:hAnsi="Cambria Math" w:cs="Arial"/>
              <w:sz w:val="20"/>
            </w:rPr>
            <m:t>T</m:t>
          </m:r>
          <m:r>
            <w:rPr>
              <w:rFonts w:ascii="Cambria Math" w:hAnsi="Arial" w:cs="Arial"/>
              <w:sz w:val="20"/>
            </w:rPr>
            <m:t>=</m:t>
          </m:r>
          <m:sSub>
            <m:sSubPr>
              <m:ctrlPr>
                <w:rPr>
                  <w:rFonts w:ascii="Cambria Math" w:hAnsi="Arial" w:cs="Arial"/>
                  <w:i/>
                  <w:sz w:val="20"/>
                </w:rPr>
              </m:ctrlPr>
            </m:sSubPr>
            <m:e>
              <m:r>
                <w:rPr>
                  <w:rFonts w:ascii="Cambria Math" w:hAnsi="Cambria Math" w:cs="Arial"/>
                  <w:sz w:val="20"/>
                </w:rPr>
                <m:t>t</m:t>
              </m:r>
            </m:e>
            <m:sub>
              <m:r>
                <w:rPr>
                  <w:rFonts w:ascii="Cambria Math" w:hAnsi="Cambria Math" w:cs="Arial"/>
                  <w:sz w:val="20"/>
                </w:rPr>
                <m:t>ij</m:t>
              </m:r>
              <m:r>
                <w:rPr>
                  <w:rFonts w:ascii="Cambria Math" w:hAnsi="Arial" w:cs="Arial"/>
                  <w:sz w:val="20"/>
                </w:rPr>
                <m:t xml:space="preserve">        </m:t>
              </m:r>
            </m:sub>
          </m:sSub>
          <m:r>
            <w:rPr>
              <w:rFonts w:ascii="Cambria Math" w:hAnsi="Cambria Math" w:cs="Arial"/>
              <w:sz w:val="20"/>
            </w:rPr>
            <m:t>i</m:t>
          </m:r>
          <m:r>
            <w:rPr>
              <w:rFonts w:ascii="Cambria Math" w:hAnsi="Arial" w:cs="Arial"/>
              <w:sz w:val="20"/>
            </w:rPr>
            <m:t>,</m:t>
          </m:r>
          <m:r>
            <w:rPr>
              <w:rFonts w:ascii="Cambria Math" w:hAnsi="Cambria Math" w:cs="Arial"/>
              <w:sz w:val="20"/>
            </w:rPr>
            <m:t>j</m:t>
          </m:r>
          <m:r>
            <w:rPr>
              <w:rFonts w:ascii="Cambria Math" w:hAnsi="Arial" w:cs="Arial"/>
              <w:sz w:val="20"/>
            </w:rPr>
            <m:t>=1,2</m:t>
          </m:r>
          <m:r>
            <w:rPr>
              <w:rFonts w:ascii="Cambria Math" w:hAnsi="Arial" w:cs="Arial"/>
              <w:sz w:val="20"/>
            </w:rPr>
            <m:t>…</m:t>
          </m:r>
          <m:r>
            <w:rPr>
              <w:rFonts w:ascii="Cambria Math" w:hAnsi="Cambria Math" w:cs="Arial"/>
              <w:sz w:val="20"/>
            </w:rPr>
            <m:t>n                                           (iv)</m:t>
          </m:r>
        </m:oMath>
      </m:oMathPara>
    </w:p>
    <w:p w14:paraId="41FA92DE" w14:textId="77777777" w:rsidR="0077023A" w:rsidRPr="000E04B3" w:rsidRDefault="0077023A" w:rsidP="0077023A">
      <w:pPr>
        <w:autoSpaceDE w:val="0"/>
        <w:autoSpaceDN w:val="0"/>
        <w:adjustRightInd w:val="0"/>
        <w:rPr>
          <w:rFonts w:ascii="Arial" w:hAnsi="Arial" w:cs="Arial"/>
          <w:sz w:val="20"/>
        </w:rPr>
      </w:pPr>
    </w:p>
    <w:p w14:paraId="44E136E0" w14:textId="77777777" w:rsidR="000E04B3" w:rsidRDefault="00000000" w:rsidP="000E04B3">
      <w:pPr>
        <w:autoSpaceDE w:val="0"/>
        <w:autoSpaceDN w:val="0"/>
        <w:adjustRightInd w:val="0"/>
        <w:rPr>
          <w:rFonts w:ascii="Arial" w:eastAsiaTheme="minorEastAsia" w:hAnsi="Arial" w:cs="Arial"/>
          <w:sz w:val="20"/>
        </w:rPr>
      </w:pPr>
      <m:oMathPara>
        <m:oMath>
          <m:sSub>
            <m:sSubPr>
              <m:ctrlPr>
                <w:rPr>
                  <w:rFonts w:ascii="Cambria Math" w:hAnsi="Arial" w:cs="Arial"/>
                  <w:i/>
                  <w:sz w:val="20"/>
                </w:rPr>
              </m:ctrlPr>
            </m:sSubPr>
            <m:e>
              <m:r>
                <w:rPr>
                  <w:rFonts w:ascii="Cambria Math" w:hAnsi="Arial" w:cs="Arial"/>
                  <w:sz w:val="20"/>
                </w:rPr>
                <m:t xml:space="preserve"> </m:t>
              </m:r>
              <m:r>
                <w:rPr>
                  <w:rFonts w:ascii="Cambria Math" w:hAnsi="Cambria Math" w:cs="Arial"/>
                  <w:sz w:val="20"/>
                </w:rPr>
                <m:t>r</m:t>
              </m:r>
            </m:e>
            <m:sub>
              <m:r>
                <w:rPr>
                  <w:rFonts w:ascii="Cambria Math" w:hAnsi="Cambria Math" w:cs="Arial"/>
                  <w:sz w:val="20"/>
                </w:rPr>
                <m:t>i</m:t>
              </m:r>
            </m:sub>
          </m:sSub>
          <m:r>
            <w:rPr>
              <w:rFonts w:ascii="Cambria Math" w:hAnsi="Arial" w:cs="Arial"/>
              <w:sz w:val="20"/>
            </w:rPr>
            <m:t>=</m:t>
          </m:r>
          <m:nary>
            <m:naryPr>
              <m:chr m:val="∑"/>
              <m:limLoc m:val="undOvr"/>
              <m:supHide m:val="1"/>
              <m:ctrlPr>
                <w:rPr>
                  <w:rFonts w:ascii="Cambria Math" w:hAnsi="Arial" w:cs="Arial"/>
                  <w:i/>
                  <w:sz w:val="20"/>
                </w:rPr>
              </m:ctrlPr>
            </m:naryPr>
            <m:sub>
              <m:r>
                <w:rPr>
                  <w:rFonts w:ascii="Cambria Math" w:hAnsi="Arial" w:cs="Arial"/>
                  <w:sz w:val="20"/>
                </w:rPr>
                <m:t>1</m:t>
              </m:r>
              <m:r>
                <w:rPr>
                  <w:rFonts w:ascii="Cambria Math" w:hAnsi="Arial" w:cs="Arial"/>
                  <w:sz w:val="20"/>
                </w:rPr>
                <m:t>≤</m:t>
              </m:r>
              <m:r>
                <w:rPr>
                  <w:rFonts w:ascii="Cambria Math" w:hAnsi="Cambria Math" w:cs="Arial"/>
                  <w:sz w:val="20"/>
                </w:rPr>
                <m:t>j</m:t>
              </m:r>
              <m:r>
                <w:rPr>
                  <w:rFonts w:ascii="Cambria Math" w:hAnsi="Arial" w:cs="Arial"/>
                  <w:sz w:val="20"/>
                </w:rPr>
                <m:t>≤</m:t>
              </m:r>
              <m:r>
                <w:rPr>
                  <w:rFonts w:ascii="Cambria Math" w:hAnsi="Cambria Math" w:cs="Arial"/>
                  <w:sz w:val="20"/>
                </w:rPr>
                <m:t>n</m:t>
              </m:r>
            </m:sub>
            <m:sup/>
            <m:e>
              <m:sSub>
                <m:sSubPr>
                  <m:ctrlPr>
                    <w:rPr>
                      <w:rFonts w:ascii="Cambria Math" w:hAnsi="Arial" w:cs="Arial"/>
                      <w:i/>
                      <w:sz w:val="20"/>
                    </w:rPr>
                  </m:ctrlPr>
                </m:sSubPr>
                <m:e>
                  <m:r>
                    <w:rPr>
                      <w:rFonts w:ascii="Cambria Math" w:hAnsi="Cambria Math" w:cs="Arial"/>
                      <w:sz w:val="20"/>
                    </w:rPr>
                    <m:t>t</m:t>
                  </m:r>
                </m:e>
                <m:sub>
                  <m:r>
                    <w:rPr>
                      <w:rFonts w:ascii="Cambria Math" w:hAnsi="Cambria Math" w:cs="Arial"/>
                      <w:sz w:val="20"/>
                    </w:rPr>
                    <m:t>ij</m:t>
                  </m:r>
                </m:sub>
              </m:sSub>
            </m:e>
          </m:nary>
          <m:r>
            <w:rPr>
              <w:rFonts w:ascii="Cambria Math" w:hAnsi="Arial" w:cs="Arial"/>
              <w:sz w:val="20"/>
            </w:rPr>
            <m:t xml:space="preserve">                                                            (v)</m:t>
          </m:r>
        </m:oMath>
      </m:oMathPara>
    </w:p>
    <w:p w14:paraId="0F02FC41" w14:textId="77777777" w:rsidR="0077023A" w:rsidRPr="000E04B3" w:rsidRDefault="0077023A" w:rsidP="000E04B3">
      <w:pPr>
        <w:autoSpaceDE w:val="0"/>
        <w:autoSpaceDN w:val="0"/>
        <w:adjustRightInd w:val="0"/>
        <w:rPr>
          <w:rFonts w:ascii="Arial" w:hAnsi="Arial" w:cs="Arial"/>
          <w:sz w:val="20"/>
        </w:rPr>
      </w:pPr>
    </w:p>
    <w:p w14:paraId="00940B08" w14:textId="77777777" w:rsidR="000E04B3" w:rsidRPr="000E04B3" w:rsidRDefault="00000000" w:rsidP="000E04B3">
      <w:pPr>
        <w:autoSpaceDE w:val="0"/>
        <w:autoSpaceDN w:val="0"/>
        <w:adjustRightInd w:val="0"/>
        <w:rPr>
          <w:rFonts w:ascii="Arial" w:hAnsi="Arial" w:cs="Arial"/>
          <w:sz w:val="20"/>
        </w:rPr>
      </w:pPr>
      <m:oMathPara>
        <m:oMathParaPr>
          <m:jc m:val="center"/>
        </m:oMathParaPr>
        <m:oMath>
          <m:sSub>
            <m:sSubPr>
              <m:ctrlPr>
                <w:rPr>
                  <w:rFonts w:ascii="Cambria Math" w:hAnsi="Arial" w:cs="Arial"/>
                  <w:i/>
                  <w:sz w:val="20"/>
                </w:rPr>
              </m:ctrlPr>
            </m:sSubPr>
            <m:e>
              <m:r>
                <w:rPr>
                  <w:rFonts w:ascii="Cambria Math" w:hAnsi="Cambria Math" w:cs="Arial"/>
                  <w:sz w:val="20"/>
                </w:rPr>
                <m:t>c</m:t>
              </m:r>
            </m:e>
            <m:sub>
              <m:r>
                <w:rPr>
                  <w:rFonts w:ascii="Cambria Math" w:hAnsi="Cambria Math" w:cs="Arial"/>
                  <w:sz w:val="20"/>
                </w:rPr>
                <m:t>j</m:t>
              </m:r>
            </m:sub>
          </m:sSub>
          <m:r>
            <w:rPr>
              <w:rFonts w:ascii="Cambria Math" w:hAnsi="Arial" w:cs="Arial"/>
              <w:sz w:val="20"/>
            </w:rPr>
            <m:t>=</m:t>
          </m:r>
          <m:nary>
            <m:naryPr>
              <m:chr m:val="∑"/>
              <m:limLoc m:val="undOvr"/>
              <m:supHide m:val="1"/>
              <m:ctrlPr>
                <w:rPr>
                  <w:rFonts w:ascii="Cambria Math" w:hAnsi="Arial" w:cs="Arial"/>
                  <w:i/>
                  <w:sz w:val="20"/>
                </w:rPr>
              </m:ctrlPr>
            </m:naryPr>
            <m:sub>
              <m:r>
                <w:rPr>
                  <w:rFonts w:ascii="Cambria Math" w:hAnsi="Arial" w:cs="Arial"/>
                  <w:sz w:val="20"/>
                </w:rPr>
                <m:t>1</m:t>
              </m:r>
              <m:r>
                <w:rPr>
                  <w:rFonts w:ascii="Cambria Math" w:hAnsi="Arial" w:cs="Arial"/>
                  <w:sz w:val="20"/>
                </w:rPr>
                <m:t>≤</m:t>
              </m:r>
              <m:r>
                <w:rPr>
                  <w:rFonts w:ascii="Cambria Math" w:hAnsi="Cambria Math" w:cs="Arial"/>
                  <w:sz w:val="20"/>
                </w:rPr>
                <m:t>i</m:t>
              </m:r>
              <m:r>
                <w:rPr>
                  <w:rFonts w:ascii="Cambria Math" w:hAnsi="Arial" w:cs="Arial"/>
                  <w:sz w:val="20"/>
                </w:rPr>
                <m:t>≤</m:t>
              </m:r>
              <m:r>
                <w:rPr>
                  <w:rFonts w:ascii="Cambria Math" w:hAnsi="Cambria Math" w:cs="Arial"/>
                  <w:sz w:val="20"/>
                </w:rPr>
                <m:t>n</m:t>
              </m:r>
            </m:sub>
            <m:sup/>
            <m:e>
              <m:sSub>
                <m:sSubPr>
                  <m:ctrlPr>
                    <w:rPr>
                      <w:rFonts w:ascii="Cambria Math" w:hAnsi="Arial" w:cs="Arial"/>
                      <w:i/>
                      <w:sz w:val="20"/>
                    </w:rPr>
                  </m:ctrlPr>
                </m:sSubPr>
                <m:e>
                  <m:r>
                    <w:rPr>
                      <w:rFonts w:ascii="Cambria Math" w:hAnsi="Cambria Math" w:cs="Arial"/>
                      <w:sz w:val="20"/>
                    </w:rPr>
                    <m:t>t</m:t>
                  </m:r>
                </m:e>
                <m:sub>
                  <m:r>
                    <w:rPr>
                      <w:rFonts w:ascii="Cambria Math" w:hAnsi="Cambria Math" w:cs="Arial"/>
                      <w:sz w:val="20"/>
                    </w:rPr>
                    <m:t>ij</m:t>
                  </m:r>
                </m:sub>
              </m:sSub>
            </m:e>
          </m:nary>
          <m:r>
            <w:rPr>
              <w:rFonts w:ascii="Cambria Math" w:hAnsi="Arial" w:cs="Arial"/>
              <w:sz w:val="20"/>
            </w:rPr>
            <m:t xml:space="preserve">                                                            (vi)</m:t>
          </m:r>
        </m:oMath>
      </m:oMathPara>
    </w:p>
    <w:p w14:paraId="4A77D4F9" w14:textId="77777777" w:rsidR="000E04B3" w:rsidRPr="000E04B3" w:rsidRDefault="000E04B3" w:rsidP="000E04B3">
      <w:pPr>
        <w:autoSpaceDE w:val="0"/>
        <w:autoSpaceDN w:val="0"/>
        <w:adjustRightInd w:val="0"/>
        <w:rPr>
          <w:rFonts w:ascii="Arial" w:hAnsi="Arial" w:cs="Arial"/>
          <w:sz w:val="20"/>
        </w:rPr>
      </w:pPr>
      <w:r w:rsidRPr="000E04B3">
        <w:rPr>
          <w:rFonts w:ascii="Arial" w:hAnsi="Arial" w:cs="Arial"/>
          <w:sz w:val="20"/>
        </w:rPr>
        <w:t xml:space="preserve">                                                                                                                                       </w:t>
      </w:r>
    </w:p>
    <w:p w14:paraId="72322E98" w14:textId="77777777" w:rsidR="000E04B3" w:rsidRPr="000E04B3" w:rsidRDefault="000E04B3" w:rsidP="000E04B3">
      <w:pPr>
        <w:autoSpaceDE w:val="0"/>
        <w:autoSpaceDN w:val="0"/>
        <w:adjustRightInd w:val="0"/>
        <w:jc w:val="both"/>
        <w:rPr>
          <w:rFonts w:ascii="Arial" w:hAnsi="Arial" w:cs="Arial"/>
          <w:sz w:val="20"/>
        </w:rPr>
      </w:pPr>
      <w:r w:rsidRPr="000E04B3">
        <w:rPr>
          <w:rFonts w:ascii="Arial" w:hAnsi="Arial" w:cs="Arial"/>
          <w:b/>
          <w:sz w:val="20"/>
        </w:rPr>
        <w:t>Step 5</w:t>
      </w:r>
      <w:r w:rsidRPr="000E04B3">
        <w:rPr>
          <w:rFonts w:ascii="Arial" w:hAnsi="Arial" w:cs="Arial"/>
          <w:sz w:val="20"/>
        </w:rPr>
        <w:t xml:space="preserve">: Producing a causal diagram. The horizontal axis vector </w:t>
      </w:r>
      <m:oMath>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i</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j</m:t>
            </m:r>
          </m:sub>
        </m:sSub>
        <m:r>
          <w:rPr>
            <w:rFonts w:ascii="Cambria Math" w:hAnsi="Cambria Math" w:cs="Arial"/>
            <w:sz w:val="20"/>
          </w:rPr>
          <m:t>)</m:t>
        </m:r>
      </m:oMath>
      <w:r w:rsidRPr="000E04B3">
        <w:rPr>
          <w:rFonts w:ascii="Arial" w:hAnsi="Arial" w:cs="Arial"/>
          <w:sz w:val="20"/>
        </w:rPr>
        <w:t xml:space="preserve"> named ‘‘Prominence’’ is made by adding </w:t>
      </w:r>
      <m:oMath>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i</m:t>
            </m:r>
          </m:sub>
        </m:sSub>
      </m:oMath>
      <w:r w:rsidRPr="000E04B3">
        <w:rPr>
          <w:rFonts w:ascii="Arial" w:hAnsi="Arial" w:cs="Arial"/>
          <w:i/>
          <w:iCs/>
          <w:sz w:val="20"/>
        </w:rPr>
        <w:t xml:space="preserve"> </w:t>
      </w:r>
      <w:r w:rsidRPr="000E04B3">
        <w:rPr>
          <w:rFonts w:ascii="Arial" w:hAnsi="Arial" w:cs="Arial"/>
          <w:sz w:val="20"/>
        </w:rPr>
        <w:t xml:space="preserve">to </w:t>
      </w:r>
      <m:oMath>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j</m:t>
            </m:r>
          </m:sub>
        </m:sSub>
      </m:oMath>
      <w:r w:rsidRPr="000E04B3">
        <w:rPr>
          <w:rFonts w:ascii="Arial" w:hAnsi="Arial" w:cs="Arial"/>
          <w:sz w:val="20"/>
        </w:rPr>
        <w:t xml:space="preserve">, which reveals total effects given and received by factor </w:t>
      </w:r>
      <m:oMath>
        <m:r>
          <w:rPr>
            <w:rFonts w:ascii="Cambria Math" w:hAnsi="Cambria Math" w:cs="Arial"/>
            <w:sz w:val="20"/>
          </w:rPr>
          <m:t>i</m:t>
        </m:r>
      </m:oMath>
      <w:r w:rsidRPr="000E04B3">
        <w:rPr>
          <w:rFonts w:ascii="Arial" w:hAnsi="Arial" w:cs="Arial"/>
          <w:sz w:val="20"/>
        </w:rPr>
        <w:t xml:space="preserve">. That is, </w:t>
      </w:r>
      <w:r w:rsidR="00F01558">
        <w:rPr>
          <w:rFonts w:ascii="Arial" w:hAnsi="Arial" w:cs="Arial"/>
          <w:sz w:val="20"/>
        </w:rPr>
        <w:t xml:space="preserve">            </w:t>
      </w:r>
      <m:oMath>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i</m:t>
            </m:r>
          </m:sub>
        </m:sSub>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j</m:t>
            </m:r>
          </m:sub>
        </m:sSub>
        <m:r>
          <w:rPr>
            <w:rFonts w:ascii="Cambria Math" w:hAnsi="Cambria Math" w:cs="Arial"/>
            <w:sz w:val="20"/>
          </w:rPr>
          <m:t xml:space="preserve">) </m:t>
        </m:r>
      </m:oMath>
      <w:r w:rsidRPr="000E04B3">
        <w:rPr>
          <w:rFonts w:ascii="Arial" w:hAnsi="Arial" w:cs="Arial"/>
          <w:sz w:val="20"/>
        </w:rPr>
        <w:t>indicates the degree of importance that factor i plays in the entire system. The vertical axis</w:t>
      </w:r>
      <m:oMath>
        <m:r>
          <w:rPr>
            <w:rFonts w:ascii="Cambria Math" w:hAnsi="Cambria Math" w:cs="Arial"/>
            <w:sz w:val="20"/>
          </w:rPr>
          <m:t xml:space="preserve"> (r</m:t>
        </m:r>
        <m:r>
          <w:rPr>
            <w:rFonts w:ascii="Cambria Math" w:hAnsi="Cambria Math" w:cs="Arial"/>
            <w:sz w:val="20"/>
            <w:vertAlign w:val="subscript"/>
          </w:rPr>
          <m:t>i</m:t>
        </m:r>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j</m:t>
            </m:r>
          </m:sub>
        </m:sSub>
        <m:r>
          <w:rPr>
            <w:rFonts w:ascii="Cambria Math" w:hAnsi="Cambria Math" w:cs="Arial"/>
            <w:sz w:val="20"/>
          </w:rPr>
          <m:t xml:space="preserve">) </m:t>
        </m:r>
      </m:oMath>
      <w:r w:rsidRPr="000E04B3">
        <w:rPr>
          <w:rFonts w:ascii="Arial" w:hAnsi="Arial" w:cs="Arial"/>
          <w:sz w:val="20"/>
        </w:rPr>
        <w:t xml:space="preserve">named ‘‘Relation’’ is made by subtracting </w:t>
      </w:r>
      <m:oMath>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i</m:t>
            </m:r>
          </m:sub>
        </m:sSub>
      </m:oMath>
      <w:r w:rsidR="00C40D0F">
        <w:rPr>
          <w:rFonts w:ascii="Arial" w:eastAsiaTheme="minorEastAsia" w:hAnsi="Arial" w:cs="Arial"/>
          <w:sz w:val="20"/>
        </w:rPr>
        <w:t xml:space="preserve"> </w:t>
      </w:r>
      <w:r w:rsidRPr="000E04B3">
        <w:rPr>
          <w:rFonts w:ascii="Arial" w:hAnsi="Arial" w:cs="Arial"/>
          <w:sz w:val="20"/>
        </w:rPr>
        <w:t xml:space="preserve">from </w:t>
      </w:r>
      <w:proofErr w:type="spellStart"/>
      <w:r w:rsidRPr="000E04B3">
        <w:rPr>
          <w:rFonts w:ascii="Arial" w:hAnsi="Arial" w:cs="Arial"/>
          <w:i/>
          <w:iCs/>
          <w:sz w:val="20"/>
        </w:rPr>
        <w:t>c</w:t>
      </w:r>
      <w:r w:rsidRPr="000E04B3">
        <w:rPr>
          <w:rFonts w:ascii="Arial" w:hAnsi="Arial" w:cs="Arial"/>
          <w:sz w:val="20"/>
          <w:vertAlign w:val="subscript"/>
        </w:rPr>
        <w:t>j</w:t>
      </w:r>
      <w:proofErr w:type="spellEnd"/>
      <w:r w:rsidRPr="000E04B3">
        <w:rPr>
          <w:rFonts w:ascii="Arial" w:hAnsi="Arial" w:cs="Arial"/>
          <w:sz w:val="20"/>
          <w:vertAlign w:val="subscript"/>
        </w:rPr>
        <w:t>,</w:t>
      </w:r>
      <w:r w:rsidRPr="000E04B3">
        <w:rPr>
          <w:rFonts w:ascii="Arial" w:hAnsi="Arial" w:cs="Arial"/>
          <w:sz w:val="20"/>
        </w:rPr>
        <w:t xml:space="preserve"> which may divide criteria into a cause and effect groups. Generally, when </w:t>
      </w:r>
      <m:oMath>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i</m:t>
            </m:r>
          </m:sub>
        </m:sSub>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j</m:t>
            </m:r>
          </m:sub>
        </m:sSub>
        <m:r>
          <w:rPr>
            <w:rFonts w:ascii="Cambria Math" w:hAnsi="Cambria Math" w:cs="Arial"/>
            <w:sz w:val="20"/>
          </w:rPr>
          <m:t>)</m:t>
        </m:r>
      </m:oMath>
      <w:r w:rsidRPr="000E04B3">
        <w:rPr>
          <w:rFonts w:ascii="Arial" w:hAnsi="Arial" w:cs="Arial"/>
          <w:sz w:val="20"/>
        </w:rPr>
        <w:t xml:space="preserve"> is positive, the criterion belon</w:t>
      </w:r>
      <w:r w:rsidR="005C2833">
        <w:rPr>
          <w:rFonts w:ascii="Arial" w:hAnsi="Arial" w:cs="Arial"/>
          <w:sz w:val="20"/>
        </w:rPr>
        <w:t xml:space="preserve">gs to the cause group and when </w:t>
      </w:r>
      <m:oMath>
        <m:d>
          <m:dPr>
            <m:ctrlPr>
              <w:rPr>
                <w:rFonts w:ascii="Cambria Math" w:hAnsi="Cambria Math" w:cs="Arial"/>
                <w:i/>
                <w:sz w:val="20"/>
              </w:rPr>
            </m:ctrlPr>
          </m:dPr>
          <m:e>
            <m:sSub>
              <m:sSubPr>
                <m:ctrlPr>
                  <w:rPr>
                    <w:rFonts w:ascii="Cambria Math" w:hAnsi="Cambria Math" w:cs="Arial"/>
                    <w:i/>
                    <w:sz w:val="20"/>
                  </w:rPr>
                </m:ctrlPr>
              </m:sSubPr>
              <m:e>
                <m:r>
                  <w:rPr>
                    <w:rFonts w:ascii="Cambria Math" w:hAnsi="Cambria Math" w:cs="Arial"/>
                    <w:sz w:val="20"/>
                  </w:rPr>
                  <m:t>r</m:t>
                </m:r>
              </m:e>
              <m:sub>
                <m:r>
                  <w:rPr>
                    <w:rFonts w:ascii="Cambria Math" w:hAnsi="Cambria Math" w:cs="Arial"/>
                    <w:sz w:val="20"/>
                  </w:rPr>
                  <m:t>i</m:t>
                </m:r>
              </m:sub>
            </m:sSub>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j</m:t>
                </m:r>
              </m:sub>
            </m:sSub>
          </m:e>
        </m:d>
      </m:oMath>
      <w:r w:rsidR="005C2833">
        <w:rPr>
          <w:rFonts w:ascii="Arial" w:eastAsiaTheme="minorEastAsia" w:hAnsi="Arial" w:cs="Arial"/>
          <w:sz w:val="20"/>
        </w:rPr>
        <w:t xml:space="preserve"> </w:t>
      </w:r>
      <w:r w:rsidRPr="000E04B3">
        <w:rPr>
          <w:rFonts w:ascii="Arial" w:hAnsi="Arial" w:cs="Arial"/>
          <w:sz w:val="20"/>
        </w:rPr>
        <w:t>is negative, the criterion represents the effect group.</w:t>
      </w:r>
    </w:p>
    <w:p w14:paraId="0A32763B" w14:textId="77777777" w:rsidR="000E04B3" w:rsidRPr="003240B9" w:rsidRDefault="000E04B3" w:rsidP="003240B9">
      <w:pPr>
        <w:pStyle w:val="ListParagraph"/>
        <w:spacing w:after="0"/>
        <w:ind w:left="0"/>
        <w:rPr>
          <w:rFonts w:ascii="Arial" w:hAnsi="Arial" w:cs="Arial"/>
          <w:sz w:val="20"/>
          <w:szCs w:val="20"/>
        </w:rPr>
      </w:pPr>
    </w:p>
    <w:p w14:paraId="4CEE7665" w14:textId="77777777" w:rsidR="00183493" w:rsidRDefault="00183493" w:rsidP="00545528">
      <w:pPr>
        <w:pStyle w:val="Default"/>
        <w:jc w:val="both"/>
        <w:rPr>
          <w:rFonts w:ascii="Arial" w:hAnsi="Arial" w:cs="Arial"/>
          <w:b/>
          <w:sz w:val="20"/>
          <w:szCs w:val="18"/>
        </w:rPr>
      </w:pPr>
      <w:r>
        <w:rPr>
          <w:rFonts w:ascii="Arial" w:hAnsi="Arial" w:cs="Arial"/>
          <w:b/>
          <w:sz w:val="20"/>
          <w:szCs w:val="18"/>
        </w:rPr>
        <w:t xml:space="preserve">RESULT </w:t>
      </w:r>
    </w:p>
    <w:p w14:paraId="7340ED09" w14:textId="77777777" w:rsidR="00183493" w:rsidRDefault="00183493" w:rsidP="00545528">
      <w:pPr>
        <w:pStyle w:val="Default"/>
        <w:jc w:val="both"/>
        <w:rPr>
          <w:rFonts w:ascii="Arial" w:hAnsi="Arial" w:cs="Arial"/>
          <w:sz w:val="20"/>
          <w:szCs w:val="18"/>
        </w:rPr>
      </w:pPr>
    </w:p>
    <w:tbl>
      <w:tblPr>
        <w:tblW w:w="5000" w:type="pct"/>
        <w:tblLook w:val="04A0" w:firstRow="1" w:lastRow="0" w:firstColumn="1" w:lastColumn="0" w:noHBand="0" w:noVBand="1"/>
      </w:tblPr>
      <w:tblGrid>
        <w:gridCol w:w="4140"/>
        <w:gridCol w:w="1188"/>
        <w:gridCol w:w="1188"/>
        <w:gridCol w:w="1188"/>
        <w:gridCol w:w="1296"/>
      </w:tblGrid>
      <w:tr w:rsidR="00E618DC" w:rsidRPr="00E618DC" w14:paraId="4E7EB4B9" w14:textId="77777777" w:rsidTr="00C03EC6">
        <w:trPr>
          <w:trHeight w:val="227"/>
        </w:trPr>
        <w:tc>
          <w:tcPr>
            <w:tcW w:w="5000" w:type="pct"/>
            <w:gridSpan w:val="5"/>
            <w:tcBorders>
              <w:bottom w:val="single" w:sz="4" w:space="0" w:color="auto"/>
            </w:tcBorders>
            <w:vAlign w:val="center"/>
          </w:tcPr>
          <w:p w14:paraId="1CD26523" w14:textId="77777777" w:rsidR="00E618DC" w:rsidRPr="00E618DC" w:rsidRDefault="00E618DC" w:rsidP="00E618DC">
            <w:pPr>
              <w:spacing w:line="300" w:lineRule="auto"/>
              <w:jc w:val="left"/>
              <w:rPr>
                <w:rFonts w:ascii="Arial" w:eastAsia="Times New Roman" w:hAnsi="Arial" w:cs="Arial"/>
                <w:color w:val="000000"/>
                <w:sz w:val="20"/>
                <w:szCs w:val="20"/>
                <w:lang w:val="en-IN" w:eastAsia="en-IN"/>
              </w:rPr>
            </w:pPr>
            <w:r w:rsidRPr="00E618DC">
              <w:rPr>
                <w:rFonts w:ascii="Arial" w:hAnsi="Arial" w:cs="Arial"/>
                <w:bCs/>
                <w:sz w:val="20"/>
                <w:szCs w:val="20"/>
              </w:rPr>
              <w:t xml:space="preserve">Table </w:t>
            </w:r>
            <w:r w:rsidR="00F03598">
              <w:rPr>
                <w:rFonts w:ascii="Arial" w:hAnsi="Arial" w:cs="Arial"/>
                <w:bCs/>
                <w:sz w:val="20"/>
                <w:szCs w:val="20"/>
              </w:rPr>
              <w:t>1</w:t>
            </w:r>
            <w:r w:rsidRPr="00E618DC">
              <w:rPr>
                <w:rFonts w:ascii="Arial" w:hAnsi="Arial" w:cs="Arial"/>
                <w:b/>
                <w:bCs/>
                <w:sz w:val="20"/>
                <w:szCs w:val="20"/>
              </w:rPr>
              <w:t xml:space="preserve"> </w:t>
            </w:r>
            <w:r w:rsidRPr="00E618DC">
              <w:rPr>
                <w:rFonts w:ascii="Arial" w:hAnsi="Arial" w:cs="Arial"/>
                <w:sz w:val="20"/>
                <w:szCs w:val="20"/>
              </w:rPr>
              <w:t xml:space="preserve">The direct and indirect effects of </w:t>
            </w:r>
            <w:r w:rsidRPr="00E618DC">
              <w:rPr>
                <w:rFonts w:ascii="Arial" w:hAnsi="Arial" w:cs="Arial"/>
                <w:bCs/>
                <w:sz w:val="20"/>
                <w:szCs w:val="20"/>
              </w:rPr>
              <w:t>(Major criteria)</w:t>
            </w:r>
          </w:p>
        </w:tc>
      </w:tr>
      <w:tr w:rsidR="00E618DC" w:rsidRPr="00E618DC" w14:paraId="01C82645" w14:textId="77777777" w:rsidTr="00F03598">
        <w:trPr>
          <w:trHeight w:hRule="exact" w:val="454"/>
        </w:trPr>
        <w:tc>
          <w:tcPr>
            <w:tcW w:w="2300" w:type="pct"/>
            <w:tcBorders>
              <w:top w:val="single" w:sz="4" w:space="0" w:color="auto"/>
              <w:bottom w:val="single" w:sz="4" w:space="0" w:color="auto"/>
            </w:tcBorders>
            <w:vAlign w:val="center"/>
          </w:tcPr>
          <w:p w14:paraId="6DE80235" w14:textId="77777777" w:rsidR="00E618DC" w:rsidRPr="00E618DC" w:rsidRDefault="00E618DC" w:rsidP="00E618DC">
            <w:pPr>
              <w:spacing w:line="300" w:lineRule="auto"/>
              <w:jc w:val="left"/>
              <w:rPr>
                <w:rFonts w:ascii="Arial" w:eastAsia="Times New Roman" w:hAnsi="Arial" w:cs="Arial"/>
                <w:color w:val="000000"/>
                <w:sz w:val="20"/>
                <w:szCs w:val="20"/>
                <w:lang w:val="en-IN" w:eastAsia="en-IN"/>
              </w:rPr>
            </w:pPr>
            <w:r w:rsidRPr="00E618DC">
              <w:rPr>
                <w:rFonts w:ascii="Arial" w:eastAsia="Times New Roman" w:hAnsi="Arial" w:cs="Arial"/>
                <w:sz w:val="20"/>
                <w:szCs w:val="20"/>
                <w:lang w:val="en-IN" w:eastAsia="en-IN"/>
              </w:rPr>
              <w:t>KFEs (Major criteria)</w:t>
            </w:r>
          </w:p>
        </w:tc>
        <w:tc>
          <w:tcPr>
            <w:tcW w:w="660" w:type="pct"/>
            <w:tcBorders>
              <w:top w:val="single" w:sz="4" w:space="0" w:color="auto"/>
              <w:bottom w:val="single" w:sz="4" w:space="0" w:color="auto"/>
            </w:tcBorders>
            <w:noWrap/>
            <w:vAlign w:val="center"/>
            <w:hideMark/>
          </w:tcPr>
          <w:p w14:paraId="78A9A5C2" w14:textId="77777777" w:rsidR="00E618DC" w:rsidRPr="00E618DC" w:rsidRDefault="00E618DC" w:rsidP="00E618DC">
            <w:pPr>
              <w:spacing w:line="300" w:lineRule="auto"/>
              <w:rPr>
                <w:rFonts w:ascii="Arial" w:eastAsia="Times New Roman" w:hAnsi="Arial" w:cs="Arial"/>
                <w:b/>
                <w:color w:val="000000"/>
                <w:sz w:val="20"/>
                <w:szCs w:val="20"/>
                <w:lang w:val="en-IN" w:eastAsia="en-IN"/>
              </w:rPr>
            </w:pPr>
            <w:proofErr w:type="spellStart"/>
            <w:r w:rsidRPr="00E618DC">
              <w:rPr>
                <w:rFonts w:ascii="Arial" w:eastAsia="Times New Roman" w:hAnsi="Arial" w:cs="Arial"/>
                <w:b/>
                <w:color w:val="000000"/>
                <w:sz w:val="20"/>
                <w:szCs w:val="20"/>
                <w:lang w:val="en-IN" w:eastAsia="en-IN"/>
              </w:rPr>
              <w:t>r</w:t>
            </w:r>
            <w:r w:rsidRPr="00E618DC">
              <w:rPr>
                <w:rFonts w:ascii="Arial" w:eastAsia="Times New Roman" w:hAnsi="Arial" w:cs="Arial"/>
                <w:b/>
                <w:color w:val="000000"/>
                <w:sz w:val="20"/>
                <w:szCs w:val="20"/>
                <w:vertAlign w:val="subscript"/>
                <w:lang w:val="en-IN" w:eastAsia="en-IN"/>
              </w:rPr>
              <w:t>i</w:t>
            </w:r>
            <w:proofErr w:type="spellEnd"/>
          </w:p>
        </w:tc>
        <w:tc>
          <w:tcPr>
            <w:tcW w:w="660" w:type="pct"/>
            <w:tcBorders>
              <w:top w:val="single" w:sz="4" w:space="0" w:color="auto"/>
              <w:bottom w:val="single" w:sz="4" w:space="0" w:color="auto"/>
            </w:tcBorders>
            <w:noWrap/>
            <w:vAlign w:val="center"/>
            <w:hideMark/>
          </w:tcPr>
          <w:p w14:paraId="1F490315" w14:textId="77777777" w:rsidR="00E618DC" w:rsidRPr="00E618DC" w:rsidRDefault="00E618DC" w:rsidP="00E618DC">
            <w:pPr>
              <w:spacing w:line="300" w:lineRule="auto"/>
              <w:rPr>
                <w:rFonts w:ascii="Arial" w:eastAsia="Times New Roman" w:hAnsi="Arial" w:cs="Arial"/>
                <w:b/>
                <w:color w:val="000000"/>
                <w:sz w:val="20"/>
                <w:szCs w:val="20"/>
                <w:lang w:val="en-IN" w:eastAsia="en-IN"/>
              </w:rPr>
            </w:pPr>
            <w:r w:rsidRPr="00E618DC">
              <w:rPr>
                <w:rFonts w:ascii="Arial" w:eastAsia="Times New Roman" w:hAnsi="Arial" w:cs="Arial"/>
                <w:b/>
                <w:color w:val="000000"/>
                <w:sz w:val="20"/>
                <w:szCs w:val="20"/>
                <w:lang w:val="en-IN" w:eastAsia="en-IN"/>
              </w:rPr>
              <w:t>c</w:t>
            </w:r>
            <w:r w:rsidRPr="00E618DC">
              <w:rPr>
                <w:rFonts w:ascii="Arial" w:eastAsia="Times New Roman" w:hAnsi="Arial" w:cs="Arial"/>
                <w:b/>
                <w:color w:val="000000"/>
                <w:sz w:val="20"/>
                <w:szCs w:val="20"/>
                <w:vertAlign w:val="subscript"/>
                <w:lang w:val="en-IN" w:eastAsia="en-IN"/>
              </w:rPr>
              <w:t>i</w:t>
            </w:r>
          </w:p>
        </w:tc>
        <w:tc>
          <w:tcPr>
            <w:tcW w:w="660" w:type="pct"/>
            <w:tcBorders>
              <w:top w:val="single" w:sz="4" w:space="0" w:color="auto"/>
              <w:bottom w:val="single" w:sz="4" w:space="0" w:color="auto"/>
            </w:tcBorders>
            <w:noWrap/>
            <w:vAlign w:val="center"/>
            <w:hideMark/>
          </w:tcPr>
          <w:p w14:paraId="4F07FCFE" w14:textId="77777777" w:rsidR="00E618DC" w:rsidRPr="00E618DC" w:rsidRDefault="00E618DC" w:rsidP="00E618DC">
            <w:pPr>
              <w:spacing w:line="300" w:lineRule="auto"/>
              <w:rPr>
                <w:rFonts w:ascii="Arial" w:eastAsia="Times New Roman" w:hAnsi="Arial" w:cs="Arial"/>
                <w:b/>
                <w:color w:val="000000"/>
                <w:sz w:val="20"/>
                <w:szCs w:val="20"/>
                <w:lang w:val="en-IN" w:eastAsia="en-IN"/>
              </w:rPr>
            </w:pPr>
            <w:proofErr w:type="spellStart"/>
            <w:r w:rsidRPr="00E618DC">
              <w:rPr>
                <w:rFonts w:ascii="Arial" w:eastAsia="Times New Roman" w:hAnsi="Arial" w:cs="Arial"/>
                <w:b/>
                <w:color w:val="000000"/>
                <w:sz w:val="20"/>
                <w:szCs w:val="20"/>
                <w:lang w:val="en-IN" w:eastAsia="en-IN"/>
              </w:rPr>
              <w:t>r</w:t>
            </w:r>
            <w:r w:rsidRPr="00E618DC">
              <w:rPr>
                <w:rFonts w:ascii="Arial" w:eastAsia="Times New Roman" w:hAnsi="Arial" w:cs="Arial"/>
                <w:b/>
                <w:color w:val="000000"/>
                <w:sz w:val="20"/>
                <w:szCs w:val="20"/>
                <w:vertAlign w:val="subscript"/>
                <w:lang w:val="en-IN" w:eastAsia="en-IN"/>
              </w:rPr>
              <w:t>i</w:t>
            </w:r>
            <w:r w:rsidRPr="00E618DC">
              <w:rPr>
                <w:rFonts w:ascii="Arial" w:eastAsia="Times New Roman" w:hAnsi="Arial" w:cs="Arial"/>
                <w:b/>
                <w:color w:val="000000"/>
                <w:sz w:val="20"/>
                <w:szCs w:val="20"/>
                <w:lang w:val="en-IN" w:eastAsia="en-IN"/>
              </w:rPr>
              <w:t>+c</w:t>
            </w:r>
            <w:r w:rsidRPr="00E618DC">
              <w:rPr>
                <w:rFonts w:ascii="Arial" w:eastAsia="Times New Roman" w:hAnsi="Arial" w:cs="Arial"/>
                <w:b/>
                <w:color w:val="000000"/>
                <w:sz w:val="20"/>
                <w:szCs w:val="20"/>
                <w:vertAlign w:val="subscript"/>
                <w:lang w:val="en-IN" w:eastAsia="en-IN"/>
              </w:rPr>
              <w:t>i</w:t>
            </w:r>
            <w:proofErr w:type="spellEnd"/>
          </w:p>
        </w:tc>
        <w:tc>
          <w:tcPr>
            <w:tcW w:w="719" w:type="pct"/>
            <w:tcBorders>
              <w:top w:val="single" w:sz="4" w:space="0" w:color="auto"/>
              <w:bottom w:val="single" w:sz="4" w:space="0" w:color="auto"/>
            </w:tcBorders>
            <w:noWrap/>
            <w:vAlign w:val="center"/>
            <w:hideMark/>
          </w:tcPr>
          <w:p w14:paraId="0081773E" w14:textId="77777777" w:rsidR="00E618DC" w:rsidRPr="00E618DC" w:rsidRDefault="00E618DC" w:rsidP="00E618DC">
            <w:pPr>
              <w:spacing w:line="300" w:lineRule="auto"/>
              <w:rPr>
                <w:rFonts w:ascii="Arial" w:eastAsia="Times New Roman" w:hAnsi="Arial" w:cs="Arial"/>
                <w:b/>
                <w:color w:val="000000"/>
                <w:sz w:val="20"/>
                <w:szCs w:val="20"/>
                <w:lang w:val="en-IN" w:eastAsia="en-IN"/>
              </w:rPr>
            </w:pPr>
            <w:proofErr w:type="spellStart"/>
            <w:r w:rsidRPr="00E618DC">
              <w:rPr>
                <w:rFonts w:ascii="Arial" w:eastAsia="Times New Roman" w:hAnsi="Arial" w:cs="Arial"/>
                <w:b/>
                <w:color w:val="000000"/>
                <w:sz w:val="20"/>
                <w:szCs w:val="20"/>
                <w:lang w:val="en-IN" w:eastAsia="en-IN"/>
              </w:rPr>
              <w:t>r</w:t>
            </w:r>
            <w:r w:rsidRPr="00E618DC">
              <w:rPr>
                <w:rFonts w:ascii="Arial" w:eastAsia="Times New Roman" w:hAnsi="Arial" w:cs="Arial"/>
                <w:b/>
                <w:color w:val="000000"/>
                <w:sz w:val="20"/>
                <w:szCs w:val="20"/>
                <w:vertAlign w:val="subscript"/>
                <w:lang w:val="en-IN" w:eastAsia="en-IN"/>
              </w:rPr>
              <w:t>i</w:t>
            </w:r>
            <w:proofErr w:type="spellEnd"/>
            <w:r w:rsidRPr="00E618DC">
              <w:rPr>
                <w:rFonts w:ascii="Arial" w:eastAsia="Times New Roman" w:hAnsi="Arial" w:cs="Arial"/>
                <w:b/>
                <w:color w:val="000000"/>
                <w:sz w:val="20"/>
                <w:szCs w:val="20"/>
                <w:lang w:val="en-IN" w:eastAsia="en-IN"/>
              </w:rPr>
              <w:t>-c</w:t>
            </w:r>
            <w:r w:rsidRPr="00E618DC">
              <w:rPr>
                <w:rFonts w:ascii="Arial" w:eastAsia="Times New Roman" w:hAnsi="Arial" w:cs="Arial"/>
                <w:b/>
                <w:color w:val="000000"/>
                <w:sz w:val="20"/>
                <w:szCs w:val="20"/>
                <w:vertAlign w:val="subscript"/>
                <w:lang w:val="en-IN" w:eastAsia="en-IN"/>
              </w:rPr>
              <w:t>i</w:t>
            </w:r>
          </w:p>
        </w:tc>
      </w:tr>
      <w:tr w:rsidR="00E618DC" w:rsidRPr="00E618DC" w14:paraId="38000FA0" w14:textId="77777777" w:rsidTr="00F03598">
        <w:trPr>
          <w:trHeight w:hRule="exact" w:val="454"/>
        </w:trPr>
        <w:tc>
          <w:tcPr>
            <w:tcW w:w="2300" w:type="pct"/>
            <w:tcBorders>
              <w:top w:val="single" w:sz="4" w:space="0" w:color="auto"/>
            </w:tcBorders>
            <w:vAlign w:val="center"/>
          </w:tcPr>
          <w:p w14:paraId="7670E700" w14:textId="77777777" w:rsidR="00E618DC" w:rsidRPr="00E618DC" w:rsidRDefault="00E618DC" w:rsidP="00E618DC">
            <w:pPr>
              <w:spacing w:line="300" w:lineRule="auto"/>
              <w:jc w:val="left"/>
              <w:rPr>
                <w:rFonts w:ascii="Arial" w:eastAsia="Times New Roman" w:hAnsi="Arial" w:cs="Arial"/>
                <w:bCs/>
                <w:sz w:val="20"/>
                <w:szCs w:val="20"/>
                <w:lang w:val="en-IN" w:eastAsia="en-IN"/>
              </w:rPr>
            </w:pPr>
            <w:r w:rsidRPr="00E618DC">
              <w:rPr>
                <w:rFonts w:ascii="Arial" w:eastAsia="Times New Roman" w:hAnsi="Arial" w:cs="Arial"/>
                <w:bCs/>
                <w:sz w:val="20"/>
                <w:szCs w:val="20"/>
                <w:lang w:val="en-IN" w:eastAsia="en-IN"/>
              </w:rPr>
              <w:t>Knowledge Characteristic</w:t>
            </w:r>
          </w:p>
        </w:tc>
        <w:tc>
          <w:tcPr>
            <w:tcW w:w="660" w:type="pct"/>
            <w:tcBorders>
              <w:top w:val="single" w:sz="4" w:space="0" w:color="auto"/>
            </w:tcBorders>
            <w:noWrap/>
            <w:vAlign w:val="center"/>
            <w:hideMark/>
          </w:tcPr>
          <w:p w14:paraId="645AF0B5"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1.5801</w:t>
            </w:r>
          </w:p>
        </w:tc>
        <w:tc>
          <w:tcPr>
            <w:tcW w:w="660" w:type="pct"/>
            <w:tcBorders>
              <w:top w:val="single" w:sz="4" w:space="0" w:color="auto"/>
            </w:tcBorders>
            <w:noWrap/>
            <w:vAlign w:val="center"/>
            <w:hideMark/>
          </w:tcPr>
          <w:p w14:paraId="0FD12B18"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2.4821</w:t>
            </w:r>
          </w:p>
        </w:tc>
        <w:tc>
          <w:tcPr>
            <w:tcW w:w="660" w:type="pct"/>
            <w:tcBorders>
              <w:top w:val="single" w:sz="4" w:space="0" w:color="auto"/>
            </w:tcBorders>
            <w:noWrap/>
            <w:vAlign w:val="center"/>
            <w:hideMark/>
          </w:tcPr>
          <w:p w14:paraId="666EFB4D"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4.0622</w:t>
            </w:r>
          </w:p>
        </w:tc>
        <w:tc>
          <w:tcPr>
            <w:tcW w:w="719" w:type="pct"/>
            <w:tcBorders>
              <w:top w:val="single" w:sz="4" w:space="0" w:color="auto"/>
            </w:tcBorders>
            <w:noWrap/>
            <w:vAlign w:val="center"/>
            <w:hideMark/>
          </w:tcPr>
          <w:p w14:paraId="4AABB308"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-0.9020</w:t>
            </w:r>
          </w:p>
        </w:tc>
      </w:tr>
      <w:tr w:rsidR="00E618DC" w:rsidRPr="00E618DC" w14:paraId="3F3E94D0" w14:textId="77777777" w:rsidTr="00F03598">
        <w:trPr>
          <w:trHeight w:hRule="exact" w:val="454"/>
        </w:trPr>
        <w:tc>
          <w:tcPr>
            <w:tcW w:w="2300" w:type="pct"/>
            <w:vAlign w:val="center"/>
          </w:tcPr>
          <w:p w14:paraId="75643F2B" w14:textId="77777777" w:rsidR="00E618DC" w:rsidRPr="00E618DC" w:rsidRDefault="00E618DC" w:rsidP="00E618DC">
            <w:pPr>
              <w:spacing w:line="300" w:lineRule="auto"/>
              <w:jc w:val="left"/>
              <w:rPr>
                <w:rFonts w:ascii="Arial" w:eastAsia="Times New Roman" w:hAnsi="Arial" w:cs="Arial"/>
                <w:bCs/>
                <w:sz w:val="20"/>
                <w:szCs w:val="20"/>
                <w:lang w:val="en-IN" w:eastAsia="en-IN"/>
              </w:rPr>
            </w:pPr>
            <w:r w:rsidRPr="00E618DC">
              <w:rPr>
                <w:rFonts w:ascii="Arial" w:eastAsia="Times New Roman" w:hAnsi="Arial" w:cs="Arial"/>
                <w:bCs/>
                <w:sz w:val="20"/>
                <w:szCs w:val="20"/>
                <w:lang w:val="en-IN" w:eastAsia="en-IN"/>
              </w:rPr>
              <w:t>Knowledge Provider</w:t>
            </w:r>
          </w:p>
        </w:tc>
        <w:tc>
          <w:tcPr>
            <w:tcW w:w="660" w:type="pct"/>
            <w:noWrap/>
            <w:vAlign w:val="center"/>
            <w:hideMark/>
          </w:tcPr>
          <w:p w14:paraId="21D850DB"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2.7678</w:t>
            </w:r>
          </w:p>
        </w:tc>
        <w:tc>
          <w:tcPr>
            <w:tcW w:w="660" w:type="pct"/>
            <w:noWrap/>
            <w:vAlign w:val="center"/>
            <w:hideMark/>
          </w:tcPr>
          <w:p w14:paraId="02A29B55"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1.2152</w:t>
            </w:r>
          </w:p>
        </w:tc>
        <w:tc>
          <w:tcPr>
            <w:tcW w:w="660" w:type="pct"/>
            <w:noWrap/>
            <w:vAlign w:val="center"/>
            <w:hideMark/>
          </w:tcPr>
          <w:p w14:paraId="332DC114"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3.983</w:t>
            </w:r>
          </w:p>
        </w:tc>
        <w:tc>
          <w:tcPr>
            <w:tcW w:w="719" w:type="pct"/>
            <w:noWrap/>
            <w:vAlign w:val="center"/>
            <w:hideMark/>
          </w:tcPr>
          <w:p w14:paraId="7D54F4C1"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1.5526</w:t>
            </w:r>
          </w:p>
        </w:tc>
      </w:tr>
      <w:tr w:rsidR="00E618DC" w:rsidRPr="00E618DC" w14:paraId="55893C54" w14:textId="77777777" w:rsidTr="00F03598">
        <w:trPr>
          <w:trHeight w:hRule="exact" w:val="454"/>
        </w:trPr>
        <w:tc>
          <w:tcPr>
            <w:tcW w:w="2300" w:type="pct"/>
            <w:vAlign w:val="center"/>
          </w:tcPr>
          <w:p w14:paraId="5EDFBD69" w14:textId="77777777" w:rsidR="00E618DC" w:rsidRPr="00E618DC" w:rsidRDefault="00E618DC" w:rsidP="00E618DC">
            <w:pPr>
              <w:spacing w:line="300" w:lineRule="auto"/>
              <w:jc w:val="left"/>
              <w:rPr>
                <w:rFonts w:ascii="Arial" w:eastAsia="Times New Roman" w:hAnsi="Arial" w:cs="Arial"/>
                <w:bCs/>
                <w:sz w:val="20"/>
                <w:szCs w:val="20"/>
                <w:lang w:val="en-IN" w:eastAsia="en-IN"/>
              </w:rPr>
            </w:pPr>
            <w:r w:rsidRPr="00E618DC">
              <w:rPr>
                <w:rFonts w:ascii="Arial" w:eastAsia="Times New Roman" w:hAnsi="Arial" w:cs="Arial"/>
                <w:bCs/>
                <w:sz w:val="20"/>
                <w:szCs w:val="20"/>
                <w:lang w:val="en-IN" w:eastAsia="en-IN"/>
              </w:rPr>
              <w:t>Knowledge Receiver</w:t>
            </w:r>
          </w:p>
        </w:tc>
        <w:tc>
          <w:tcPr>
            <w:tcW w:w="660" w:type="pct"/>
            <w:noWrap/>
            <w:vAlign w:val="center"/>
            <w:hideMark/>
          </w:tcPr>
          <w:p w14:paraId="48725AC8"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2.3116</w:t>
            </w:r>
          </w:p>
        </w:tc>
        <w:tc>
          <w:tcPr>
            <w:tcW w:w="660" w:type="pct"/>
            <w:noWrap/>
            <w:vAlign w:val="center"/>
            <w:hideMark/>
          </w:tcPr>
          <w:p w14:paraId="66118B3D"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1.8142</w:t>
            </w:r>
          </w:p>
        </w:tc>
        <w:tc>
          <w:tcPr>
            <w:tcW w:w="660" w:type="pct"/>
            <w:noWrap/>
            <w:vAlign w:val="center"/>
            <w:hideMark/>
          </w:tcPr>
          <w:p w14:paraId="4A17822B"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4.1258</w:t>
            </w:r>
          </w:p>
        </w:tc>
        <w:tc>
          <w:tcPr>
            <w:tcW w:w="719" w:type="pct"/>
            <w:noWrap/>
            <w:vAlign w:val="center"/>
            <w:hideMark/>
          </w:tcPr>
          <w:p w14:paraId="02E991C1"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0.4974</w:t>
            </w:r>
          </w:p>
        </w:tc>
      </w:tr>
      <w:tr w:rsidR="00E618DC" w:rsidRPr="00E618DC" w14:paraId="2DC16B8A" w14:textId="77777777" w:rsidTr="00F03598">
        <w:trPr>
          <w:trHeight w:hRule="exact" w:val="454"/>
        </w:trPr>
        <w:tc>
          <w:tcPr>
            <w:tcW w:w="2300" w:type="pct"/>
            <w:vAlign w:val="center"/>
          </w:tcPr>
          <w:p w14:paraId="0CDC4A99" w14:textId="77777777" w:rsidR="00E618DC" w:rsidRPr="00E618DC" w:rsidRDefault="00E618DC" w:rsidP="00E618DC">
            <w:pPr>
              <w:spacing w:line="300" w:lineRule="auto"/>
              <w:jc w:val="left"/>
              <w:rPr>
                <w:rFonts w:ascii="Arial" w:eastAsia="Times New Roman" w:hAnsi="Arial" w:cs="Arial"/>
                <w:bCs/>
                <w:sz w:val="20"/>
                <w:szCs w:val="20"/>
                <w:lang w:val="en-IN" w:eastAsia="en-IN"/>
              </w:rPr>
            </w:pPr>
            <w:r w:rsidRPr="00E618DC">
              <w:rPr>
                <w:rFonts w:ascii="Arial" w:eastAsia="Times New Roman" w:hAnsi="Arial" w:cs="Arial"/>
                <w:bCs/>
                <w:sz w:val="20"/>
                <w:szCs w:val="20"/>
                <w:lang w:val="en-IN" w:eastAsia="en-IN"/>
              </w:rPr>
              <w:t>Contextual Factor</w:t>
            </w:r>
          </w:p>
        </w:tc>
        <w:tc>
          <w:tcPr>
            <w:tcW w:w="660" w:type="pct"/>
            <w:noWrap/>
            <w:vAlign w:val="center"/>
            <w:hideMark/>
          </w:tcPr>
          <w:p w14:paraId="7A267F29"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2.0851</w:t>
            </w:r>
          </w:p>
        </w:tc>
        <w:tc>
          <w:tcPr>
            <w:tcW w:w="660" w:type="pct"/>
            <w:noWrap/>
            <w:vAlign w:val="center"/>
            <w:hideMark/>
          </w:tcPr>
          <w:p w14:paraId="31E92ED9"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1.9822</w:t>
            </w:r>
          </w:p>
        </w:tc>
        <w:tc>
          <w:tcPr>
            <w:tcW w:w="660" w:type="pct"/>
            <w:noWrap/>
            <w:vAlign w:val="center"/>
            <w:hideMark/>
          </w:tcPr>
          <w:p w14:paraId="59B7047C"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4.0673</w:t>
            </w:r>
          </w:p>
        </w:tc>
        <w:tc>
          <w:tcPr>
            <w:tcW w:w="719" w:type="pct"/>
            <w:noWrap/>
            <w:vAlign w:val="center"/>
            <w:hideMark/>
          </w:tcPr>
          <w:p w14:paraId="5D33F817"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0.1029</w:t>
            </w:r>
          </w:p>
        </w:tc>
      </w:tr>
      <w:tr w:rsidR="00E618DC" w:rsidRPr="00E618DC" w14:paraId="3A9CC5DC" w14:textId="77777777" w:rsidTr="00F03598">
        <w:trPr>
          <w:trHeight w:hRule="exact" w:val="454"/>
        </w:trPr>
        <w:tc>
          <w:tcPr>
            <w:tcW w:w="2300" w:type="pct"/>
            <w:tcBorders>
              <w:bottom w:val="single" w:sz="4" w:space="0" w:color="auto"/>
            </w:tcBorders>
            <w:vAlign w:val="center"/>
          </w:tcPr>
          <w:p w14:paraId="70475729" w14:textId="77777777" w:rsidR="00E618DC" w:rsidRPr="00E618DC" w:rsidRDefault="00E618DC" w:rsidP="00E618DC">
            <w:pPr>
              <w:spacing w:line="300" w:lineRule="auto"/>
              <w:jc w:val="left"/>
              <w:rPr>
                <w:rFonts w:ascii="Arial" w:eastAsia="Times New Roman" w:hAnsi="Arial" w:cs="Arial"/>
                <w:bCs/>
                <w:sz w:val="20"/>
                <w:szCs w:val="20"/>
                <w:lang w:val="en-IN" w:eastAsia="en-IN"/>
              </w:rPr>
            </w:pPr>
            <w:r w:rsidRPr="00E618DC">
              <w:rPr>
                <w:rFonts w:ascii="Arial" w:eastAsia="Times New Roman" w:hAnsi="Arial" w:cs="Arial"/>
                <w:bCs/>
                <w:sz w:val="20"/>
                <w:szCs w:val="20"/>
                <w:lang w:val="en-IN" w:eastAsia="en-IN"/>
              </w:rPr>
              <w:t>Knowledge Flow Mechanism</w:t>
            </w:r>
          </w:p>
        </w:tc>
        <w:tc>
          <w:tcPr>
            <w:tcW w:w="660" w:type="pct"/>
            <w:tcBorders>
              <w:bottom w:val="single" w:sz="4" w:space="0" w:color="auto"/>
            </w:tcBorders>
            <w:noWrap/>
            <w:vAlign w:val="center"/>
            <w:hideMark/>
          </w:tcPr>
          <w:p w14:paraId="7BE7AB6A"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1.3738</w:t>
            </w:r>
          </w:p>
        </w:tc>
        <w:tc>
          <w:tcPr>
            <w:tcW w:w="660" w:type="pct"/>
            <w:tcBorders>
              <w:bottom w:val="single" w:sz="4" w:space="0" w:color="auto"/>
            </w:tcBorders>
            <w:noWrap/>
            <w:vAlign w:val="center"/>
            <w:hideMark/>
          </w:tcPr>
          <w:p w14:paraId="01A7F487"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2.6247</w:t>
            </w:r>
          </w:p>
        </w:tc>
        <w:tc>
          <w:tcPr>
            <w:tcW w:w="660" w:type="pct"/>
            <w:tcBorders>
              <w:bottom w:val="single" w:sz="4" w:space="0" w:color="auto"/>
            </w:tcBorders>
            <w:noWrap/>
            <w:vAlign w:val="center"/>
            <w:hideMark/>
          </w:tcPr>
          <w:p w14:paraId="235C8BA1"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3.9985</w:t>
            </w:r>
          </w:p>
        </w:tc>
        <w:tc>
          <w:tcPr>
            <w:tcW w:w="719" w:type="pct"/>
            <w:tcBorders>
              <w:bottom w:val="single" w:sz="4" w:space="0" w:color="auto"/>
            </w:tcBorders>
            <w:noWrap/>
            <w:vAlign w:val="center"/>
            <w:hideMark/>
          </w:tcPr>
          <w:p w14:paraId="306555E4" w14:textId="77777777" w:rsidR="00E618DC" w:rsidRPr="00E618DC" w:rsidRDefault="00E618DC" w:rsidP="00E618DC">
            <w:pPr>
              <w:rPr>
                <w:rFonts w:ascii="Arial" w:hAnsi="Arial" w:cs="Arial"/>
                <w:bCs/>
                <w:color w:val="000000"/>
                <w:sz w:val="20"/>
                <w:szCs w:val="20"/>
              </w:rPr>
            </w:pPr>
            <w:r w:rsidRPr="00E618DC">
              <w:rPr>
                <w:rFonts w:ascii="Arial" w:hAnsi="Arial" w:cs="Arial"/>
                <w:bCs/>
                <w:color w:val="000000"/>
                <w:sz w:val="20"/>
                <w:szCs w:val="20"/>
              </w:rPr>
              <w:t>-1.2509</w:t>
            </w:r>
          </w:p>
        </w:tc>
      </w:tr>
    </w:tbl>
    <w:p w14:paraId="2B5F69B1" w14:textId="77777777" w:rsidR="00E618DC" w:rsidRPr="00183493" w:rsidRDefault="00E618DC" w:rsidP="00183493">
      <w:pPr>
        <w:spacing w:before="120" w:after="120" w:line="300" w:lineRule="auto"/>
        <w:ind w:firstLine="720"/>
        <w:jc w:val="both"/>
        <w:rPr>
          <w:lang w:val="en-IN"/>
        </w:rPr>
      </w:pPr>
    </w:p>
    <w:p w14:paraId="06668884" w14:textId="77777777" w:rsidR="00183493" w:rsidRPr="00183493" w:rsidRDefault="00183493" w:rsidP="00183493">
      <w:pPr>
        <w:keepNext/>
        <w:spacing w:before="120" w:after="120" w:line="300" w:lineRule="auto"/>
        <w:rPr>
          <w:rFonts w:ascii="Arial" w:hAnsi="Arial" w:cs="Arial"/>
          <w:sz w:val="20"/>
          <w:szCs w:val="20"/>
        </w:rPr>
      </w:pPr>
      <w:r w:rsidRPr="00183493">
        <w:rPr>
          <w:rFonts w:ascii="Arial" w:hAnsi="Arial" w:cs="Arial"/>
          <w:noProof/>
          <w:sz w:val="20"/>
          <w:szCs w:val="20"/>
        </w:rPr>
        <w:lastRenderedPageBreak/>
        <w:drawing>
          <wp:inline distT="0" distB="0" distL="0" distR="0" wp14:anchorId="25AB4C29" wp14:editId="3795806F">
            <wp:extent cx="5057908" cy="2115879"/>
            <wp:effectExtent l="19050" t="0" r="28442"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68FE1EF" w14:textId="77777777" w:rsidR="00183493" w:rsidRDefault="004D118F" w:rsidP="00D17F74">
      <w:pPr>
        <w:rPr>
          <w:rFonts w:ascii="Arial" w:hAnsi="Arial" w:cs="Arial"/>
          <w:bCs/>
          <w:sz w:val="20"/>
          <w:szCs w:val="20"/>
        </w:rPr>
      </w:pPr>
      <w:r>
        <w:rPr>
          <w:rFonts w:ascii="Arial" w:hAnsi="Arial" w:cs="Arial"/>
          <w:bCs/>
          <w:sz w:val="20"/>
          <w:szCs w:val="20"/>
        </w:rPr>
        <w:t>Fig. 1</w:t>
      </w:r>
      <w:r w:rsidR="00183493" w:rsidRPr="00183493">
        <w:rPr>
          <w:rFonts w:ascii="Arial" w:hAnsi="Arial" w:cs="Arial"/>
          <w:bCs/>
          <w:sz w:val="20"/>
          <w:szCs w:val="20"/>
        </w:rPr>
        <w:t xml:space="preserve"> The cause effect relation digraph (Major criteria)</w:t>
      </w:r>
    </w:p>
    <w:p w14:paraId="78DB4737" w14:textId="77777777" w:rsidR="00D17F74" w:rsidRPr="00183493" w:rsidRDefault="00D17F74" w:rsidP="00D17F74">
      <w:pPr>
        <w:rPr>
          <w:rFonts w:ascii="Arial" w:hAnsi="Arial" w:cs="Arial"/>
          <w:bCs/>
          <w:sz w:val="20"/>
          <w:szCs w:val="20"/>
          <w:lang w:val="en-IN"/>
        </w:rPr>
      </w:pPr>
    </w:p>
    <w:tbl>
      <w:tblPr>
        <w:tblW w:w="5000" w:type="pct"/>
        <w:tblLook w:val="04A0" w:firstRow="1" w:lastRow="0" w:firstColumn="1" w:lastColumn="0" w:noHBand="0" w:noVBand="1"/>
      </w:tblPr>
      <w:tblGrid>
        <w:gridCol w:w="2239"/>
        <w:gridCol w:w="1210"/>
        <w:gridCol w:w="1301"/>
        <w:gridCol w:w="2223"/>
        <w:gridCol w:w="2027"/>
      </w:tblGrid>
      <w:tr w:rsidR="00E618DC" w:rsidRPr="00E618DC" w14:paraId="5A5E58C4" w14:textId="77777777" w:rsidTr="00C03EC6">
        <w:trPr>
          <w:trHeight w:val="227"/>
        </w:trPr>
        <w:tc>
          <w:tcPr>
            <w:tcW w:w="5000" w:type="pct"/>
            <w:gridSpan w:val="5"/>
            <w:tcBorders>
              <w:bottom w:val="single" w:sz="4" w:space="0" w:color="auto"/>
            </w:tcBorders>
            <w:noWrap/>
            <w:vAlign w:val="bottom"/>
            <w:hideMark/>
          </w:tcPr>
          <w:p w14:paraId="0F480E6E" w14:textId="77777777" w:rsidR="00E618DC" w:rsidRPr="00E618DC" w:rsidRDefault="00F03598" w:rsidP="00F03598">
            <w:pPr>
              <w:spacing w:line="300" w:lineRule="auto"/>
              <w:jc w:val="left"/>
              <w:rPr>
                <w:rFonts w:ascii="Arial" w:eastAsia="Times New Roman" w:hAnsi="Arial" w:cs="Arial"/>
                <w:color w:val="000000"/>
                <w:sz w:val="20"/>
                <w:szCs w:val="20"/>
                <w:lang w:val="en-IN" w:eastAsia="en-IN"/>
              </w:rPr>
            </w:pPr>
            <w:r>
              <w:rPr>
                <w:rFonts w:ascii="Arial" w:eastAsia="Times New Roman" w:hAnsi="Arial" w:cs="Arial"/>
                <w:bCs/>
                <w:color w:val="000000"/>
                <w:sz w:val="20"/>
                <w:szCs w:val="20"/>
              </w:rPr>
              <w:t>Table 2</w:t>
            </w:r>
            <w:r w:rsidR="00E618DC" w:rsidRPr="00E618DC">
              <w:rPr>
                <w:rFonts w:ascii="Arial" w:eastAsia="Times New Roman" w:hAnsi="Arial" w:cs="Arial"/>
                <w:bCs/>
                <w:color w:val="000000"/>
                <w:sz w:val="20"/>
                <w:szCs w:val="20"/>
              </w:rPr>
              <w:t xml:space="preserve">  </w:t>
            </w:r>
            <w:r w:rsidR="00E618DC" w:rsidRPr="00E618DC">
              <w:rPr>
                <w:rFonts w:ascii="Arial" w:hAnsi="Arial" w:cs="Arial"/>
                <w:sz w:val="20"/>
                <w:szCs w:val="20"/>
              </w:rPr>
              <w:t xml:space="preserve">The direct and indirect effects of sub criteria </w:t>
            </w:r>
            <w:r w:rsidR="00E618DC" w:rsidRPr="00E618DC">
              <w:rPr>
                <w:rFonts w:ascii="Arial" w:eastAsia="Times New Roman" w:hAnsi="Arial" w:cs="Arial"/>
                <w:bCs/>
                <w:color w:val="000000"/>
                <w:sz w:val="20"/>
                <w:szCs w:val="20"/>
              </w:rPr>
              <w:t>(knowledge characteristics)</w:t>
            </w:r>
          </w:p>
        </w:tc>
      </w:tr>
      <w:tr w:rsidR="00E618DC" w:rsidRPr="00E618DC" w14:paraId="78D8C83C" w14:textId="77777777" w:rsidTr="00C03EC6">
        <w:trPr>
          <w:trHeight w:val="397"/>
        </w:trPr>
        <w:tc>
          <w:tcPr>
            <w:tcW w:w="1244" w:type="pct"/>
            <w:tcBorders>
              <w:top w:val="single" w:sz="4" w:space="0" w:color="auto"/>
              <w:bottom w:val="single" w:sz="4" w:space="0" w:color="auto"/>
            </w:tcBorders>
            <w:noWrap/>
            <w:vAlign w:val="center"/>
            <w:hideMark/>
          </w:tcPr>
          <w:p w14:paraId="708049FE" w14:textId="77777777" w:rsidR="00E618DC" w:rsidRPr="00E618DC" w:rsidRDefault="00E618DC" w:rsidP="00E618DC">
            <w:pPr>
              <w:spacing w:line="300" w:lineRule="auto"/>
              <w:rPr>
                <w:rFonts w:ascii="Arial" w:eastAsia="Times New Roman" w:hAnsi="Arial" w:cs="Arial"/>
                <w:color w:val="000000"/>
                <w:sz w:val="20"/>
                <w:szCs w:val="20"/>
                <w:lang w:val="en-IN" w:eastAsia="en-IN"/>
              </w:rPr>
            </w:pPr>
          </w:p>
        </w:tc>
        <w:tc>
          <w:tcPr>
            <w:tcW w:w="672" w:type="pct"/>
            <w:tcBorders>
              <w:top w:val="single" w:sz="4" w:space="0" w:color="auto"/>
              <w:bottom w:val="single" w:sz="4" w:space="0" w:color="auto"/>
            </w:tcBorders>
            <w:noWrap/>
            <w:vAlign w:val="center"/>
            <w:hideMark/>
          </w:tcPr>
          <w:p w14:paraId="04A3799B" w14:textId="77777777" w:rsidR="00E618DC" w:rsidRPr="00E618DC" w:rsidRDefault="00E618DC" w:rsidP="00E618DC">
            <w:pPr>
              <w:spacing w:line="300" w:lineRule="auto"/>
              <w:rPr>
                <w:rFonts w:ascii="Arial" w:eastAsia="Times New Roman" w:hAnsi="Arial" w:cs="Arial"/>
                <w:b/>
                <w:color w:val="000000"/>
                <w:sz w:val="20"/>
                <w:szCs w:val="20"/>
                <w:lang w:val="en-IN" w:eastAsia="en-IN"/>
              </w:rPr>
            </w:pPr>
            <w:proofErr w:type="spellStart"/>
            <w:r w:rsidRPr="00E618DC">
              <w:rPr>
                <w:rFonts w:ascii="Arial" w:eastAsia="Times New Roman" w:hAnsi="Arial" w:cs="Arial"/>
                <w:b/>
                <w:color w:val="000000"/>
                <w:sz w:val="20"/>
                <w:szCs w:val="20"/>
                <w:lang w:val="en-IN" w:eastAsia="en-IN"/>
              </w:rPr>
              <w:t>r</w:t>
            </w:r>
            <w:r w:rsidRPr="00E618DC">
              <w:rPr>
                <w:rFonts w:ascii="Arial" w:eastAsia="Times New Roman" w:hAnsi="Arial" w:cs="Arial"/>
                <w:b/>
                <w:color w:val="000000"/>
                <w:sz w:val="20"/>
                <w:szCs w:val="20"/>
                <w:vertAlign w:val="subscript"/>
                <w:lang w:val="en-IN" w:eastAsia="en-IN"/>
              </w:rPr>
              <w:t>i</w:t>
            </w:r>
            <w:proofErr w:type="spellEnd"/>
          </w:p>
        </w:tc>
        <w:tc>
          <w:tcPr>
            <w:tcW w:w="723" w:type="pct"/>
            <w:tcBorders>
              <w:top w:val="single" w:sz="4" w:space="0" w:color="auto"/>
              <w:bottom w:val="single" w:sz="4" w:space="0" w:color="auto"/>
            </w:tcBorders>
            <w:noWrap/>
            <w:vAlign w:val="center"/>
            <w:hideMark/>
          </w:tcPr>
          <w:p w14:paraId="0E7CEB2E" w14:textId="77777777" w:rsidR="00E618DC" w:rsidRPr="00E618DC" w:rsidRDefault="00E618DC" w:rsidP="00E618DC">
            <w:pPr>
              <w:spacing w:line="300" w:lineRule="auto"/>
              <w:rPr>
                <w:rFonts w:ascii="Arial" w:eastAsia="Times New Roman" w:hAnsi="Arial" w:cs="Arial"/>
                <w:b/>
                <w:color w:val="000000"/>
                <w:sz w:val="20"/>
                <w:szCs w:val="20"/>
                <w:lang w:val="en-IN" w:eastAsia="en-IN"/>
              </w:rPr>
            </w:pPr>
            <w:r w:rsidRPr="00E618DC">
              <w:rPr>
                <w:rFonts w:ascii="Arial" w:eastAsia="Times New Roman" w:hAnsi="Arial" w:cs="Arial"/>
                <w:b/>
                <w:color w:val="000000"/>
                <w:sz w:val="20"/>
                <w:szCs w:val="20"/>
                <w:lang w:val="en-IN" w:eastAsia="en-IN"/>
              </w:rPr>
              <w:t>c</w:t>
            </w:r>
            <w:r w:rsidRPr="00E618DC">
              <w:rPr>
                <w:rFonts w:ascii="Arial" w:eastAsia="Times New Roman" w:hAnsi="Arial" w:cs="Arial"/>
                <w:b/>
                <w:color w:val="000000"/>
                <w:sz w:val="20"/>
                <w:szCs w:val="20"/>
                <w:vertAlign w:val="subscript"/>
                <w:lang w:val="en-IN" w:eastAsia="en-IN"/>
              </w:rPr>
              <w:t>i</w:t>
            </w:r>
          </w:p>
        </w:tc>
        <w:tc>
          <w:tcPr>
            <w:tcW w:w="1235" w:type="pct"/>
            <w:tcBorders>
              <w:top w:val="single" w:sz="4" w:space="0" w:color="auto"/>
              <w:bottom w:val="single" w:sz="4" w:space="0" w:color="auto"/>
            </w:tcBorders>
            <w:noWrap/>
            <w:vAlign w:val="center"/>
            <w:hideMark/>
          </w:tcPr>
          <w:p w14:paraId="6956FC34" w14:textId="77777777" w:rsidR="00E618DC" w:rsidRPr="00E618DC" w:rsidRDefault="00E618DC" w:rsidP="00E618DC">
            <w:pPr>
              <w:spacing w:line="300" w:lineRule="auto"/>
              <w:rPr>
                <w:rFonts w:ascii="Arial" w:eastAsia="Times New Roman" w:hAnsi="Arial" w:cs="Arial"/>
                <w:b/>
                <w:color w:val="000000"/>
                <w:sz w:val="20"/>
                <w:szCs w:val="20"/>
                <w:lang w:val="en-IN" w:eastAsia="en-IN"/>
              </w:rPr>
            </w:pPr>
            <w:proofErr w:type="spellStart"/>
            <w:r w:rsidRPr="00E618DC">
              <w:rPr>
                <w:rFonts w:ascii="Arial" w:eastAsia="Times New Roman" w:hAnsi="Arial" w:cs="Arial"/>
                <w:b/>
                <w:color w:val="000000"/>
                <w:sz w:val="20"/>
                <w:szCs w:val="20"/>
                <w:lang w:val="en-IN" w:eastAsia="en-IN"/>
              </w:rPr>
              <w:t>r</w:t>
            </w:r>
            <w:r w:rsidRPr="00E618DC">
              <w:rPr>
                <w:rFonts w:ascii="Arial" w:eastAsia="Times New Roman" w:hAnsi="Arial" w:cs="Arial"/>
                <w:b/>
                <w:color w:val="000000"/>
                <w:sz w:val="20"/>
                <w:szCs w:val="20"/>
                <w:vertAlign w:val="subscript"/>
                <w:lang w:val="en-IN" w:eastAsia="en-IN"/>
              </w:rPr>
              <w:t>i</w:t>
            </w:r>
            <w:r w:rsidRPr="00E618DC">
              <w:rPr>
                <w:rFonts w:ascii="Arial" w:eastAsia="Times New Roman" w:hAnsi="Arial" w:cs="Arial"/>
                <w:b/>
                <w:color w:val="000000"/>
                <w:sz w:val="20"/>
                <w:szCs w:val="20"/>
                <w:lang w:val="en-IN" w:eastAsia="en-IN"/>
              </w:rPr>
              <w:t>+c</w:t>
            </w:r>
            <w:r w:rsidRPr="00E618DC">
              <w:rPr>
                <w:rFonts w:ascii="Arial" w:eastAsia="Times New Roman" w:hAnsi="Arial" w:cs="Arial"/>
                <w:b/>
                <w:color w:val="000000"/>
                <w:sz w:val="20"/>
                <w:szCs w:val="20"/>
                <w:vertAlign w:val="subscript"/>
                <w:lang w:val="en-IN" w:eastAsia="en-IN"/>
              </w:rPr>
              <w:t>i</w:t>
            </w:r>
            <w:proofErr w:type="spellEnd"/>
          </w:p>
        </w:tc>
        <w:tc>
          <w:tcPr>
            <w:tcW w:w="1126" w:type="pct"/>
            <w:tcBorders>
              <w:top w:val="single" w:sz="4" w:space="0" w:color="auto"/>
              <w:bottom w:val="single" w:sz="4" w:space="0" w:color="auto"/>
            </w:tcBorders>
            <w:noWrap/>
            <w:vAlign w:val="center"/>
            <w:hideMark/>
          </w:tcPr>
          <w:p w14:paraId="49165572" w14:textId="77777777" w:rsidR="00E618DC" w:rsidRPr="00E618DC" w:rsidRDefault="00E618DC" w:rsidP="00E618DC">
            <w:pPr>
              <w:spacing w:line="300" w:lineRule="auto"/>
              <w:rPr>
                <w:rFonts w:ascii="Arial" w:eastAsia="Times New Roman" w:hAnsi="Arial" w:cs="Arial"/>
                <w:b/>
                <w:color w:val="000000"/>
                <w:sz w:val="20"/>
                <w:szCs w:val="20"/>
                <w:lang w:val="en-IN" w:eastAsia="en-IN"/>
              </w:rPr>
            </w:pPr>
            <w:proofErr w:type="spellStart"/>
            <w:r w:rsidRPr="00E618DC">
              <w:rPr>
                <w:rFonts w:ascii="Arial" w:eastAsia="Times New Roman" w:hAnsi="Arial" w:cs="Arial"/>
                <w:b/>
                <w:color w:val="000000"/>
                <w:sz w:val="20"/>
                <w:szCs w:val="20"/>
                <w:lang w:val="en-IN" w:eastAsia="en-IN"/>
              </w:rPr>
              <w:t>r</w:t>
            </w:r>
            <w:r w:rsidRPr="00E618DC">
              <w:rPr>
                <w:rFonts w:ascii="Arial" w:eastAsia="Times New Roman" w:hAnsi="Arial" w:cs="Arial"/>
                <w:b/>
                <w:color w:val="000000"/>
                <w:sz w:val="20"/>
                <w:szCs w:val="20"/>
                <w:vertAlign w:val="subscript"/>
                <w:lang w:val="en-IN" w:eastAsia="en-IN"/>
              </w:rPr>
              <w:t>i</w:t>
            </w:r>
            <w:proofErr w:type="spellEnd"/>
            <w:r w:rsidRPr="00E618DC">
              <w:rPr>
                <w:rFonts w:ascii="Arial" w:eastAsia="Times New Roman" w:hAnsi="Arial" w:cs="Arial"/>
                <w:b/>
                <w:color w:val="000000"/>
                <w:sz w:val="20"/>
                <w:szCs w:val="20"/>
                <w:lang w:val="en-IN" w:eastAsia="en-IN"/>
              </w:rPr>
              <w:t>-c</w:t>
            </w:r>
            <w:r w:rsidRPr="00E618DC">
              <w:rPr>
                <w:rFonts w:ascii="Arial" w:eastAsia="Times New Roman" w:hAnsi="Arial" w:cs="Arial"/>
                <w:b/>
                <w:color w:val="000000"/>
                <w:sz w:val="20"/>
                <w:szCs w:val="20"/>
                <w:vertAlign w:val="subscript"/>
                <w:lang w:val="en-IN" w:eastAsia="en-IN"/>
              </w:rPr>
              <w:t>i</w:t>
            </w:r>
          </w:p>
        </w:tc>
      </w:tr>
      <w:tr w:rsidR="00E618DC" w:rsidRPr="00E618DC" w14:paraId="34EDB570" w14:textId="77777777" w:rsidTr="00C03EC6">
        <w:trPr>
          <w:trHeight w:val="397"/>
        </w:trPr>
        <w:tc>
          <w:tcPr>
            <w:tcW w:w="1244" w:type="pct"/>
            <w:tcBorders>
              <w:top w:val="single" w:sz="4" w:space="0" w:color="auto"/>
            </w:tcBorders>
            <w:noWrap/>
            <w:vAlign w:val="center"/>
            <w:hideMark/>
          </w:tcPr>
          <w:p w14:paraId="2F868D20" w14:textId="77777777" w:rsidR="00E618DC" w:rsidRPr="00E618DC" w:rsidRDefault="00E618DC" w:rsidP="00E618DC">
            <w:pPr>
              <w:spacing w:line="300" w:lineRule="auto"/>
              <w:outlineLvl w:val="0"/>
              <w:rPr>
                <w:rFonts w:ascii="Arial" w:eastAsia="Times New Roman" w:hAnsi="Arial" w:cs="Arial"/>
                <w:bCs/>
                <w:color w:val="000000"/>
                <w:sz w:val="20"/>
                <w:szCs w:val="20"/>
              </w:rPr>
            </w:pPr>
            <w:r w:rsidRPr="00E618DC">
              <w:rPr>
                <w:rFonts w:ascii="Arial" w:eastAsia="Times New Roman" w:hAnsi="Arial" w:cs="Arial"/>
                <w:bCs/>
                <w:color w:val="000000"/>
                <w:sz w:val="20"/>
                <w:szCs w:val="20"/>
              </w:rPr>
              <w:t>KC1</w:t>
            </w:r>
          </w:p>
        </w:tc>
        <w:tc>
          <w:tcPr>
            <w:tcW w:w="672" w:type="pct"/>
            <w:tcBorders>
              <w:top w:val="single" w:sz="4" w:space="0" w:color="auto"/>
            </w:tcBorders>
            <w:noWrap/>
            <w:vAlign w:val="center"/>
            <w:hideMark/>
          </w:tcPr>
          <w:p w14:paraId="57E0CAAF" w14:textId="77777777" w:rsidR="00E618DC" w:rsidRPr="00E618DC" w:rsidRDefault="00E618DC" w:rsidP="00E618DC">
            <w:pPr>
              <w:rPr>
                <w:rFonts w:ascii="Arial" w:hAnsi="Arial" w:cs="Arial"/>
                <w:color w:val="000000"/>
                <w:sz w:val="20"/>
                <w:szCs w:val="20"/>
              </w:rPr>
            </w:pPr>
            <w:r w:rsidRPr="00E618DC">
              <w:rPr>
                <w:rFonts w:ascii="Arial" w:hAnsi="Arial" w:cs="Arial"/>
                <w:color w:val="000000"/>
                <w:sz w:val="20"/>
                <w:szCs w:val="20"/>
              </w:rPr>
              <w:t>0.909</w:t>
            </w:r>
          </w:p>
        </w:tc>
        <w:tc>
          <w:tcPr>
            <w:tcW w:w="723" w:type="pct"/>
            <w:tcBorders>
              <w:top w:val="single" w:sz="4" w:space="0" w:color="auto"/>
            </w:tcBorders>
            <w:noWrap/>
            <w:vAlign w:val="center"/>
            <w:hideMark/>
          </w:tcPr>
          <w:p w14:paraId="65CC6F0B" w14:textId="77777777" w:rsidR="00E618DC" w:rsidRPr="00E618DC" w:rsidRDefault="00E618DC" w:rsidP="00E618DC">
            <w:pPr>
              <w:rPr>
                <w:rFonts w:ascii="Arial" w:hAnsi="Arial" w:cs="Arial"/>
                <w:color w:val="000000"/>
                <w:sz w:val="20"/>
                <w:szCs w:val="20"/>
              </w:rPr>
            </w:pPr>
            <w:r w:rsidRPr="00E618DC">
              <w:rPr>
                <w:rFonts w:ascii="Arial" w:hAnsi="Arial" w:cs="Arial"/>
                <w:color w:val="000000"/>
                <w:sz w:val="20"/>
                <w:szCs w:val="20"/>
              </w:rPr>
              <w:t>1.909</w:t>
            </w:r>
          </w:p>
        </w:tc>
        <w:tc>
          <w:tcPr>
            <w:tcW w:w="1235" w:type="pct"/>
            <w:tcBorders>
              <w:top w:val="single" w:sz="4" w:space="0" w:color="auto"/>
            </w:tcBorders>
            <w:noWrap/>
            <w:vAlign w:val="center"/>
            <w:hideMark/>
          </w:tcPr>
          <w:p w14:paraId="6ECCE02B" w14:textId="77777777" w:rsidR="00E618DC" w:rsidRPr="00E618DC" w:rsidRDefault="00E618DC" w:rsidP="00E618DC">
            <w:pPr>
              <w:rPr>
                <w:rFonts w:ascii="Arial" w:hAnsi="Arial" w:cs="Arial"/>
                <w:color w:val="000000"/>
                <w:sz w:val="20"/>
                <w:szCs w:val="20"/>
              </w:rPr>
            </w:pPr>
            <w:r w:rsidRPr="00E618DC">
              <w:rPr>
                <w:rFonts w:ascii="Arial" w:hAnsi="Arial" w:cs="Arial"/>
                <w:color w:val="000000"/>
                <w:sz w:val="20"/>
                <w:szCs w:val="20"/>
              </w:rPr>
              <w:t>1.909</w:t>
            </w:r>
          </w:p>
        </w:tc>
        <w:tc>
          <w:tcPr>
            <w:tcW w:w="1126" w:type="pct"/>
            <w:tcBorders>
              <w:top w:val="single" w:sz="4" w:space="0" w:color="auto"/>
            </w:tcBorders>
            <w:noWrap/>
            <w:vAlign w:val="center"/>
            <w:hideMark/>
          </w:tcPr>
          <w:p w14:paraId="44C0D665" w14:textId="77777777" w:rsidR="00E618DC" w:rsidRPr="00E618DC" w:rsidRDefault="00E618DC" w:rsidP="00E618DC">
            <w:pPr>
              <w:rPr>
                <w:rFonts w:ascii="Arial" w:hAnsi="Arial" w:cs="Arial"/>
                <w:color w:val="000000"/>
                <w:sz w:val="20"/>
                <w:szCs w:val="20"/>
              </w:rPr>
            </w:pPr>
            <w:r w:rsidRPr="00E618DC">
              <w:rPr>
                <w:rFonts w:ascii="Arial" w:hAnsi="Arial" w:cs="Arial"/>
                <w:color w:val="000000"/>
                <w:sz w:val="20"/>
                <w:szCs w:val="20"/>
              </w:rPr>
              <w:t>-1</w:t>
            </w:r>
          </w:p>
        </w:tc>
      </w:tr>
      <w:tr w:rsidR="00E618DC" w:rsidRPr="00E618DC" w14:paraId="15BDB507" w14:textId="77777777" w:rsidTr="00C03EC6">
        <w:trPr>
          <w:trHeight w:val="397"/>
        </w:trPr>
        <w:tc>
          <w:tcPr>
            <w:tcW w:w="1244" w:type="pct"/>
            <w:tcBorders>
              <w:bottom w:val="single" w:sz="4" w:space="0" w:color="auto"/>
            </w:tcBorders>
            <w:noWrap/>
            <w:vAlign w:val="center"/>
            <w:hideMark/>
          </w:tcPr>
          <w:p w14:paraId="1E564DE0" w14:textId="77777777" w:rsidR="00E618DC" w:rsidRPr="00E618DC" w:rsidRDefault="00E618DC" w:rsidP="00E618DC">
            <w:pPr>
              <w:spacing w:line="300" w:lineRule="auto"/>
              <w:outlineLvl w:val="0"/>
              <w:rPr>
                <w:rFonts w:ascii="Arial" w:eastAsia="Times New Roman" w:hAnsi="Arial" w:cs="Arial"/>
                <w:bCs/>
                <w:color w:val="000000"/>
                <w:sz w:val="20"/>
                <w:szCs w:val="20"/>
              </w:rPr>
            </w:pPr>
            <w:r w:rsidRPr="00E618DC">
              <w:rPr>
                <w:rFonts w:ascii="Arial" w:eastAsia="Times New Roman" w:hAnsi="Arial" w:cs="Arial"/>
                <w:bCs/>
                <w:color w:val="000000"/>
                <w:sz w:val="20"/>
                <w:szCs w:val="20"/>
              </w:rPr>
              <w:t>KC2</w:t>
            </w:r>
          </w:p>
        </w:tc>
        <w:tc>
          <w:tcPr>
            <w:tcW w:w="672" w:type="pct"/>
            <w:tcBorders>
              <w:bottom w:val="single" w:sz="4" w:space="0" w:color="auto"/>
            </w:tcBorders>
            <w:noWrap/>
            <w:vAlign w:val="center"/>
            <w:hideMark/>
          </w:tcPr>
          <w:p w14:paraId="6FF64916" w14:textId="77777777" w:rsidR="00E618DC" w:rsidRPr="00E618DC" w:rsidRDefault="00E618DC" w:rsidP="00E618DC">
            <w:pPr>
              <w:rPr>
                <w:rFonts w:ascii="Arial" w:hAnsi="Arial" w:cs="Arial"/>
                <w:color w:val="000000"/>
                <w:sz w:val="20"/>
                <w:szCs w:val="20"/>
              </w:rPr>
            </w:pPr>
            <w:r w:rsidRPr="00E618DC">
              <w:rPr>
                <w:rFonts w:ascii="Arial" w:hAnsi="Arial" w:cs="Arial"/>
                <w:color w:val="000000"/>
                <w:sz w:val="20"/>
                <w:szCs w:val="20"/>
              </w:rPr>
              <w:t>1.909</w:t>
            </w:r>
          </w:p>
        </w:tc>
        <w:tc>
          <w:tcPr>
            <w:tcW w:w="723" w:type="pct"/>
            <w:tcBorders>
              <w:bottom w:val="single" w:sz="4" w:space="0" w:color="auto"/>
            </w:tcBorders>
            <w:noWrap/>
            <w:vAlign w:val="center"/>
            <w:hideMark/>
          </w:tcPr>
          <w:p w14:paraId="565ED278" w14:textId="77777777" w:rsidR="00E618DC" w:rsidRPr="00E618DC" w:rsidRDefault="00E618DC" w:rsidP="00E618DC">
            <w:pPr>
              <w:rPr>
                <w:rFonts w:ascii="Arial" w:hAnsi="Arial" w:cs="Arial"/>
                <w:color w:val="000000"/>
                <w:sz w:val="20"/>
                <w:szCs w:val="20"/>
              </w:rPr>
            </w:pPr>
            <w:r w:rsidRPr="00E618DC">
              <w:rPr>
                <w:rFonts w:ascii="Arial" w:hAnsi="Arial" w:cs="Arial"/>
                <w:color w:val="000000"/>
                <w:sz w:val="20"/>
                <w:szCs w:val="20"/>
              </w:rPr>
              <w:t>0.909</w:t>
            </w:r>
          </w:p>
        </w:tc>
        <w:tc>
          <w:tcPr>
            <w:tcW w:w="1235" w:type="pct"/>
            <w:tcBorders>
              <w:bottom w:val="single" w:sz="4" w:space="0" w:color="auto"/>
            </w:tcBorders>
            <w:noWrap/>
            <w:vAlign w:val="center"/>
            <w:hideMark/>
          </w:tcPr>
          <w:p w14:paraId="0EBD1AA4" w14:textId="77777777" w:rsidR="00E618DC" w:rsidRPr="00E618DC" w:rsidRDefault="00E618DC" w:rsidP="00E618DC">
            <w:pPr>
              <w:rPr>
                <w:rFonts w:ascii="Arial" w:hAnsi="Arial" w:cs="Arial"/>
                <w:color w:val="000000"/>
                <w:sz w:val="20"/>
                <w:szCs w:val="20"/>
              </w:rPr>
            </w:pPr>
            <w:r w:rsidRPr="00E618DC">
              <w:rPr>
                <w:rFonts w:ascii="Arial" w:hAnsi="Arial" w:cs="Arial"/>
                <w:color w:val="000000"/>
                <w:sz w:val="20"/>
                <w:szCs w:val="20"/>
              </w:rPr>
              <w:t>0.909</w:t>
            </w:r>
          </w:p>
        </w:tc>
        <w:tc>
          <w:tcPr>
            <w:tcW w:w="1126" w:type="pct"/>
            <w:tcBorders>
              <w:bottom w:val="single" w:sz="4" w:space="0" w:color="auto"/>
            </w:tcBorders>
            <w:noWrap/>
            <w:vAlign w:val="center"/>
            <w:hideMark/>
          </w:tcPr>
          <w:p w14:paraId="07B3BF47" w14:textId="77777777" w:rsidR="00E618DC" w:rsidRPr="00E618DC" w:rsidRDefault="00E618DC" w:rsidP="00E618DC">
            <w:pPr>
              <w:rPr>
                <w:rFonts w:ascii="Arial" w:hAnsi="Arial" w:cs="Arial"/>
                <w:color w:val="000000"/>
                <w:sz w:val="20"/>
                <w:szCs w:val="20"/>
              </w:rPr>
            </w:pPr>
            <w:r w:rsidRPr="00E618DC">
              <w:rPr>
                <w:rFonts w:ascii="Arial" w:hAnsi="Arial" w:cs="Arial"/>
                <w:color w:val="000000"/>
                <w:sz w:val="20"/>
                <w:szCs w:val="20"/>
              </w:rPr>
              <w:t>1</w:t>
            </w:r>
          </w:p>
        </w:tc>
      </w:tr>
    </w:tbl>
    <w:p w14:paraId="29D683CB" w14:textId="77777777" w:rsidR="00E618DC" w:rsidRPr="00183493" w:rsidRDefault="00E618DC" w:rsidP="00183493">
      <w:pPr>
        <w:spacing w:line="300" w:lineRule="auto"/>
        <w:jc w:val="both"/>
      </w:pPr>
    </w:p>
    <w:p w14:paraId="258AC9B5" w14:textId="77777777" w:rsidR="00183493" w:rsidRPr="00183493" w:rsidRDefault="00183493" w:rsidP="00183493">
      <w:pPr>
        <w:keepNext/>
        <w:spacing w:line="300" w:lineRule="auto"/>
        <w:rPr>
          <w:rFonts w:ascii="Arial" w:hAnsi="Arial" w:cs="Arial"/>
          <w:sz w:val="20"/>
          <w:szCs w:val="20"/>
        </w:rPr>
      </w:pPr>
      <w:r w:rsidRPr="00183493">
        <w:rPr>
          <w:rFonts w:ascii="Arial" w:hAnsi="Arial" w:cs="Arial"/>
          <w:noProof/>
          <w:sz w:val="20"/>
          <w:szCs w:val="20"/>
        </w:rPr>
        <w:drawing>
          <wp:inline distT="0" distB="0" distL="0" distR="0" wp14:anchorId="7D6CFD5C" wp14:editId="5940A6DC">
            <wp:extent cx="4579605" cy="1818168"/>
            <wp:effectExtent l="19050" t="0" r="11445"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868D8C1" w14:textId="77777777" w:rsidR="00183493" w:rsidRDefault="004D118F" w:rsidP="00D17F74">
      <w:pPr>
        <w:rPr>
          <w:rFonts w:ascii="Arial" w:hAnsi="Arial" w:cs="Arial"/>
          <w:bCs/>
          <w:sz w:val="20"/>
          <w:szCs w:val="20"/>
          <w:lang w:val="en-IN"/>
        </w:rPr>
      </w:pPr>
      <w:r>
        <w:rPr>
          <w:rFonts w:ascii="Arial" w:hAnsi="Arial" w:cs="Arial"/>
          <w:bCs/>
          <w:sz w:val="20"/>
          <w:szCs w:val="20"/>
        </w:rPr>
        <w:t>Fig. 2</w:t>
      </w:r>
      <w:r w:rsidR="00183493" w:rsidRPr="00183493">
        <w:rPr>
          <w:rFonts w:ascii="Arial" w:hAnsi="Arial" w:cs="Arial"/>
          <w:bCs/>
          <w:sz w:val="20"/>
          <w:szCs w:val="20"/>
        </w:rPr>
        <w:t xml:space="preserve"> The cause effect relation </w:t>
      </w:r>
      <w:r w:rsidR="00183493" w:rsidRPr="00183493">
        <w:rPr>
          <w:rFonts w:ascii="Arial" w:hAnsi="Arial" w:cs="Arial"/>
          <w:bCs/>
          <w:sz w:val="20"/>
          <w:szCs w:val="20"/>
          <w:lang w:val="en-IN"/>
        </w:rPr>
        <w:t>digraph (</w:t>
      </w:r>
      <w:r w:rsidR="00183493" w:rsidRPr="00183493">
        <w:rPr>
          <w:rFonts w:ascii="Arial" w:hAnsi="Arial" w:cs="Arial"/>
          <w:bCs/>
          <w:sz w:val="20"/>
          <w:szCs w:val="20"/>
        </w:rPr>
        <w:t>knowledge characteristics</w:t>
      </w:r>
      <w:r w:rsidR="00183493" w:rsidRPr="00183493">
        <w:rPr>
          <w:rFonts w:ascii="Arial" w:hAnsi="Arial" w:cs="Arial"/>
          <w:bCs/>
          <w:sz w:val="20"/>
          <w:szCs w:val="20"/>
          <w:lang w:val="en-IN"/>
        </w:rPr>
        <w:t>)</w:t>
      </w:r>
    </w:p>
    <w:p w14:paraId="49504033" w14:textId="77777777" w:rsidR="00D17F74" w:rsidRPr="00183493" w:rsidRDefault="00D17F74" w:rsidP="00D17F74">
      <w:pPr>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881"/>
        <w:gridCol w:w="1881"/>
        <w:gridCol w:w="1881"/>
        <w:gridCol w:w="2050"/>
      </w:tblGrid>
      <w:tr w:rsidR="00AA43A2" w:rsidRPr="00AA43A2" w14:paraId="0CDEBE2D" w14:textId="77777777" w:rsidTr="00C03EC6">
        <w:trPr>
          <w:trHeight w:hRule="exact" w:val="283"/>
        </w:trPr>
        <w:tc>
          <w:tcPr>
            <w:tcW w:w="5000" w:type="pct"/>
            <w:gridSpan w:val="5"/>
            <w:tcBorders>
              <w:top w:val="nil"/>
              <w:left w:val="nil"/>
              <w:bottom w:val="single" w:sz="4" w:space="0" w:color="auto"/>
              <w:right w:val="nil"/>
            </w:tcBorders>
            <w:vAlign w:val="center"/>
          </w:tcPr>
          <w:p w14:paraId="26BBC76F" w14:textId="77777777" w:rsidR="00AA43A2" w:rsidRPr="00AA43A2" w:rsidRDefault="00AA43A2" w:rsidP="00AA43A2">
            <w:pPr>
              <w:spacing w:line="300" w:lineRule="auto"/>
              <w:jc w:val="left"/>
              <w:rPr>
                <w:rFonts w:ascii="Arial" w:eastAsia="Times New Roman" w:hAnsi="Arial" w:cs="Arial"/>
                <w:color w:val="000000"/>
                <w:sz w:val="20"/>
                <w:szCs w:val="20"/>
                <w:lang w:val="en-IN" w:eastAsia="en-IN"/>
              </w:rPr>
            </w:pPr>
            <w:r w:rsidRPr="00AA43A2">
              <w:rPr>
                <w:rFonts w:ascii="Arial" w:eastAsia="Times New Roman" w:hAnsi="Arial" w:cs="Arial"/>
                <w:bCs/>
                <w:color w:val="000000"/>
                <w:sz w:val="20"/>
                <w:szCs w:val="20"/>
              </w:rPr>
              <w:t xml:space="preserve">Table </w:t>
            </w:r>
            <w:r w:rsidR="00F03598">
              <w:rPr>
                <w:rFonts w:ascii="Arial" w:eastAsia="Times New Roman" w:hAnsi="Arial" w:cs="Arial"/>
                <w:bCs/>
                <w:color w:val="000000"/>
                <w:sz w:val="20"/>
                <w:szCs w:val="20"/>
              </w:rPr>
              <w:t>3</w:t>
            </w:r>
            <w:r w:rsidRPr="00AA43A2">
              <w:rPr>
                <w:rFonts w:ascii="Arial" w:eastAsia="Times New Roman" w:hAnsi="Arial" w:cs="Arial"/>
                <w:bCs/>
                <w:color w:val="000000"/>
                <w:sz w:val="20"/>
                <w:szCs w:val="20"/>
              </w:rPr>
              <w:t xml:space="preserve"> </w:t>
            </w:r>
            <w:r w:rsidRPr="00AA43A2">
              <w:rPr>
                <w:rFonts w:ascii="Arial" w:hAnsi="Arial" w:cs="Arial"/>
                <w:sz w:val="20"/>
                <w:szCs w:val="20"/>
              </w:rPr>
              <w:t xml:space="preserve">The direct and indirect effects of sub criteria </w:t>
            </w:r>
            <w:r w:rsidRPr="00AA43A2">
              <w:rPr>
                <w:rFonts w:ascii="Arial" w:eastAsia="Times New Roman" w:hAnsi="Arial" w:cs="Arial"/>
                <w:bCs/>
                <w:color w:val="000000"/>
                <w:sz w:val="20"/>
                <w:szCs w:val="20"/>
              </w:rPr>
              <w:t>(knowledge provider)</w:t>
            </w:r>
          </w:p>
        </w:tc>
      </w:tr>
      <w:tr w:rsidR="00AA43A2" w:rsidRPr="00AA43A2" w14:paraId="2E7E88D0" w14:textId="77777777" w:rsidTr="00C03EC6">
        <w:trPr>
          <w:trHeight w:hRule="exact" w:val="397"/>
        </w:trPr>
        <w:tc>
          <w:tcPr>
            <w:tcW w:w="726" w:type="pct"/>
            <w:tcBorders>
              <w:top w:val="single" w:sz="4" w:space="0" w:color="auto"/>
              <w:left w:val="nil"/>
              <w:bottom w:val="single" w:sz="4" w:space="0" w:color="auto"/>
              <w:right w:val="nil"/>
            </w:tcBorders>
            <w:vAlign w:val="center"/>
          </w:tcPr>
          <w:p w14:paraId="58327773" w14:textId="77777777" w:rsidR="00AA43A2" w:rsidRPr="00AA43A2" w:rsidRDefault="00AA43A2" w:rsidP="00AA43A2">
            <w:pPr>
              <w:spacing w:line="300" w:lineRule="auto"/>
              <w:rPr>
                <w:rFonts w:ascii="Arial" w:eastAsia="Times New Roman" w:hAnsi="Arial" w:cs="Arial"/>
                <w:color w:val="000000"/>
                <w:sz w:val="20"/>
                <w:szCs w:val="20"/>
                <w:lang w:val="en-IN" w:eastAsia="en-IN"/>
              </w:rPr>
            </w:pPr>
          </w:p>
        </w:tc>
        <w:tc>
          <w:tcPr>
            <w:tcW w:w="1045" w:type="pct"/>
            <w:tcBorders>
              <w:top w:val="single" w:sz="4" w:space="0" w:color="auto"/>
              <w:left w:val="nil"/>
              <w:bottom w:val="single" w:sz="4" w:space="0" w:color="auto"/>
              <w:right w:val="nil"/>
            </w:tcBorders>
            <w:noWrap/>
            <w:vAlign w:val="center"/>
            <w:hideMark/>
          </w:tcPr>
          <w:p w14:paraId="231D4BF9" w14:textId="77777777" w:rsidR="00AA43A2" w:rsidRPr="00AA43A2" w:rsidRDefault="00AA43A2" w:rsidP="00AA43A2">
            <w:pPr>
              <w:spacing w:line="300" w:lineRule="auto"/>
              <w:rPr>
                <w:rFonts w:ascii="Arial" w:eastAsia="Times New Roman" w:hAnsi="Arial" w:cs="Arial"/>
                <w:b/>
                <w:color w:val="000000"/>
                <w:sz w:val="20"/>
                <w:szCs w:val="20"/>
                <w:lang w:val="en-IN" w:eastAsia="en-IN"/>
              </w:rPr>
            </w:pPr>
            <w:proofErr w:type="spellStart"/>
            <w:r w:rsidRPr="00AA43A2">
              <w:rPr>
                <w:rFonts w:ascii="Arial" w:eastAsia="Times New Roman" w:hAnsi="Arial" w:cs="Arial"/>
                <w:b/>
                <w:color w:val="000000"/>
                <w:sz w:val="20"/>
                <w:szCs w:val="20"/>
                <w:lang w:val="en-IN" w:eastAsia="en-IN"/>
              </w:rPr>
              <w:t>r</w:t>
            </w:r>
            <w:r w:rsidRPr="00AA43A2">
              <w:rPr>
                <w:rFonts w:ascii="Arial" w:eastAsia="Times New Roman" w:hAnsi="Arial" w:cs="Arial"/>
                <w:b/>
                <w:color w:val="000000"/>
                <w:sz w:val="20"/>
                <w:szCs w:val="20"/>
                <w:vertAlign w:val="subscript"/>
                <w:lang w:val="en-IN" w:eastAsia="en-IN"/>
              </w:rPr>
              <w:t>i</w:t>
            </w:r>
            <w:proofErr w:type="spellEnd"/>
          </w:p>
        </w:tc>
        <w:tc>
          <w:tcPr>
            <w:tcW w:w="1045" w:type="pct"/>
            <w:tcBorders>
              <w:top w:val="single" w:sz="4" w:space="0" w:color="auto"/>
              <w:left w:val="nil"/>
              <w:bottom w:val="single" w:sz="4" w:space="0" w:color="auto"/>
              <w:right w:val="nil"/>
            </w:tcBorders>
            <w:noWrap/>
            <w:vAlign w:val="center"/>
            <w:hideMark/>
          </w:tcPr>
          <w:p w14:paraId="35F85717" w14:textId="77777777" w:rsidR="00AA43A2" w:rsidRPr="00AA43A2" w:rsidRDefault="00AA43A2" w:rsidP="00AA43A2">
            <w:pPr>
              <w:spacing w:line="300" w:lineRule="auto"/>
              <w:rPr>
                <w:rFonts w:ascii="Arial" w:eastAsia="Times New Roman" w:hAnsi="Arial" w:cs="Arial"/>
                <w:b/>
                <w:color w:val="000000"/>
                <w:sz w:val="20"/>
                <w:szCs w:val="20"/>
                <w:lang w:val="en-IN" w:eastAsia="en-IN"/>
              </w:rPr>
            </w:pPr>
            <w:r w:rsidRPr="00AA43A2">
              <w:rPr>
                <w:rFonts w:ascii="Arial" w:eastAsia="Times New Roman" w:hAnsi="Arial" w:cs="Arial"/>
                <w:b/>
                <w:color w:val="000000"/>
                <w:sz w:val="20"/>
                <w:szCs w:val="20"/>
                <w:lang w:val="en-IN" w:eastAsia="en-IN"/>
              </w:rPr>
              <w:t>c</w:t>
            </w:r>
            <w:r w:rsidRPr="00AA43A2">
              <w:rPr>
                <w:rFonts w:ascii="Arial" w:eastAsia="Times New Roman" w:hAnsi="Arial" w:cs="Arial"/>
                <w:b/>
                <w:color w:val="000000"/>
                <w:sz w:val="20"/>
                <w:szCs w:val="20"/>
                <w:vertAlign w:val="subscript"/>
                <w:lang w:val="en-IN" w:eastAsia="en-IN"/>
              </w:rPr>
              <w:t>i</w:t>
            </w:r>
          </w:p>
        </w:tc>
        <w:tc>
          <w:tcPr>
            <w:tcW w:w="1045" w:type="pct"/>
            <w:tcBorders>
              <w:top w:val="single" w:sz="4" w:space="0" w:color="auto"/>
              <w:left w:val="nil"/>
              <w:bottom w:val="single" w:sz="4" w:space="0" w:color="auto"/>
              <w:right w:val="nil"/>
            </w:tcBorders>
            <w:noWrap/>
            <w:vAlign w:val="center"/>
            <w:hideMark/>
          </w:tcPr>
          <w:p w14:paraId="1331D9B6" w14:textId="77777777" w:rsidR="00AA43A2" w:rsidRPr="00AA43A2" w:rsidRDefault="00AA43A2" w:rsidP="00AA43A2">
            <w:pPr>
              <w:spacing w:line="300" w:lineRule="auto"/>
              <w:rPr>
                <w:rFonts w:ascii="Arial" w:eastAsia="Times New Roman" w:hAnsi="Arial" w:cs="Arial"/>
                <w:b/>
                <w:color w:val="000000"/>
                <w:sz w:val="20"/>
                <w:szCs w:val="20"/>
                <w:lang w:val="en-IN" w:eastAsia="en-IN"/>
              </w:rPr>
            </w:pPr>
            <w:proofErr w:type="spellStart"/>
            <w:r w:rsidRPr="00AA43A2">
              <w:rPr>
                <w:rFonts w:ascii="Arial" w:eastAsia="Times New Roman" w:hAnsi="Arial" w:cs="Arial"/>
                <w:b/>
                <w:color w:val="000000"/>
                <w:sz w:val="20"/>
                <w:szCs w:val="20"/>
                <w:lang w:val="en-IN" w:eastAsia="en-IN"/>
              </w:rPr>
              <w:t>r</w:t>
            </w:r>
            <w:r w:rsidRPr="00AA43A2">
              <w:rPr>
                <w:rFonts w:ascii="Arial" w:eastAsia="Times New Roman" w:hAnsi="Arial" w:cs="Arial"/>
                <w:b/>
                <w:color w:val="000000"/>
                <w:sz w:val="20"/>
                <w:szCs w:val="20"/>
                <w:vertAlign w:val="subscript"/>
                <w:lang w:val="en-IN" w:eastAsia="en-IN"/>
              </w:rPr>
              <w:t>i</w:t>
            </w:r>
            <w:r w:rsidRPr="00AA43A2">
              <w:rPr>
                <w:rFonts w:ascii="Arial" w:eastAsia="Times New Roman" w:hAnsi="Arial" w:cs="Arial"/>
                <w:b/>
                <w:color w:val="000000"/>
                <w:sz w:val="20"/>
                <w:szCs w:val="20"/>
                <w:lang w:val="en-IN" w:eastAsia="en-IN"/>
              </w:rPr>
              <w:t>+c</w:t>
            </w:r>
            <w:r w:rsidRPr="00AA43A2">
              <w:rPr>
                <w:rFonts w:ascii="Arial" w:eastAsia="Times New Roman" w:hAnsi="Arial" w:cs="Arial"/>
                <w:b/>
                <w:color w:val="000000"/>
                <w:sz w:val="20"/>
                <w:szCs w:val="20"/>
                <w:vertAlign w:val="subscript"/>
                <w:lang w:val="en-IN" w:eastAsia="en-IN"/>
              </w:rPr>
              <w:t>i</w:t>
            </w:r>
            <w:proofErr w:type="spellEnd"/>
          </w:p>
        </w:tc>
        <w:tc>
          <w:tcPr>
            <w:tcW w:w="1139" w:type="pct"/>
            <w:tcBorders>
              <w:top w:val="single" w:sz="4" w:space="0" w:color="auto"/>
              <w:left w:val="nil"/>
              <w:bottom w:val="single" w:sz="4" w:space="0" w:color="auto"/>
              <w:right w:val="nil"/>
            </w:tcBorders>
            <w:noWrap/>
            <w:vAlign w:val="center"/>
            <w:hideMark/>
          </w:tcPr>
          <w:p w14:paraId="7A79D21C" w14:textId="77777777" w:rsidR="00AA43A2" w:rsidRPr="00AA43A2" w:rsidRDefault="00AA43A2" w:rsidP="00AA43A2">
            <w:pPr>
              <w:spacing w:line="300" w:lineRule="auto"/>
              <w:rPr>
                <w:rFonts w:ascii="Arial" w:eastAsia="Times New Roman" w:hAnsi="Arial" w:cs="Arial"/>
                <w:b/>
                <w:color w:val="000000"/>
                <w:sz w:val="20"/>
                <w:szCs w:val="20"/>
                <w:lang w:val="en-IN" w:eastAsia="en-IN"/>
              </w:rPr>
            </w:pPr>
            <w:proofErr w:type="spellStart"/>
            <w:r w:rsidRPr="00AA43A2">
              <w:rPr>
                <w:rFonts w:ascii="Arial" w:eastAsia="Times New Roman" w:hAnsi="Arial" w:cs="Arial"/>
                <w:b/>
                <w:color w:val="000000"/>
                <w:sz w:val="20"/>
                <w:szCs w:val="20"/>
                <w:lang w:val="en-IN" w:eastAsia="en-IN"/>
              </w:rPr>
              <w:t>r</w:t>
            </w:r>
            <w:r w:rsidRPr="00AA43A2">
              <w:rPr>
                <w:rFonts w:ascii="Arial" w:eastAsia="Times New Roman" w:hAnsi="Arial" w:cs="Arial"/>
                <w:b/>
                <w:color w:val="000000"/>
                <w:sz w:val="20"/>
                <w:szCs w:val="20"/>
                <w:vertAlign w:val="subscript"/>
                <w:lang w:val="en-IN" w:eastAsia="en-IN"/>
              </w:rPr>
              <w:t>i</w:t>
            </w:r>
            <w:proofErr w:type="spellEnd"/>
            <w:r w:rsidRPr="00AA43A2">
              <w:rPr>
                <w:rFonts w:ascii="Arial" w:eastAsia="Times New Roman" w:hAnsi="Arial" w:cs="Arial"/>
                <w:b/>
                <w:color w:val="000000"/>
                <w:sz w:val="20"/>
                <w:szCs w:val="20"/>
                <w:lang w:val="en-IN" w:eastAsia="en-IN"/>
              </w:rPr>
              <w:t>-c</w:t>
            </w:r>
            <w:r w:rsidRPr="00AA43A2">
              <w:rPr>
                <w:rFonts w:ascii="Arial" w:eastAsia="Times New Roman" w:hAnsi="Arial" w:cs="Arial"/>
                <w:b/>
                <w:color w:val="000000"/>
                <w:sz w:val="20"/>
                <w:szCs w:val="20"/>
                <w:vertAlign w:val="subscript"/>
                <w:lang w:val="en-IN" w:eastAsia="en-IN"/>
              </w:rPr>
              <w:t>i</w:t>
            </w:r>
          </w:p>
        </w:tc>
      </w:tr>
      <w:tr w:rsidR="00AA43A2" w:rsidRPr="00AA43A2" w14:paraId="30F60A2B" w14:textId="77777777" w:rsidTr="00C03EC6">
        <w:trPr>
          <w:trHeight w:hRule="exact" w:val="397"/>
        </w:trPr>
        <w:tc>
          <w:tcPr>
            <w:tcW w:w="726" w:type="pct"/>
            <w:tcBorders>
              <w:top w:val="single" w:sz="4" w:space="0" w:color="auto"/>
              <w:left w:val="nil"/>
              <w:bottom w:val="nil"/>
              <w:right w:val="nil"/>
            </w:tcBorders>
            <w:vAlign w:val="center"/>
          </w:tcPr>
          <w:p w14:paraId="47536B27" w14:textId="77777777" w:rsidR="00AA43A2" w:rsidRPr="00AA43A2" w:rsidRDefault="00AA43A2" w:rsidP="00AA43A2">
            <w:pPr>
              <w:spacing w:line="300" w:lineRule="auto"/>
              <w:outlineLvl w:val="0"/>
              <w:rPr>
                <w:rFonts w:ascii="Arial" w:eastAsia="Times New Roman" w:hAnsi="Arial" w:cs="Arial"/>
                <w:bCs/>
                <w:color w:val="000000"/>
                <w:sz w:val="20"/>
                <w:szCs w:val="20"/>
              </w:rPr>
            </w:pPr>
            <w:r w:rsidRPr="00AA43A2">
              <w:rPr>
                <w:rFonts w:ascii="Arial" w:eastAsia="Times New Roman" w:hAnsi="Arial" w:cs="Arial"/>
                <w:bCs/>
                <w:color w:val="000000"/>
                <w:sz w:val="20"/>
                <w:szCs w:val="20"/>
              </w:rPr>
              <w:t>KP1</w:t>
            </w:r>
          </w:p>
        </w:tc>
        <w:tc>
          <w:tcPr>
            <w:tcW w:w="1045" w:type="pct"/>
            <w:tcBorders>
              <w:top w:val="single" w:sz="4" w:space="0" w:color="auto"/>
              <w:left w:val="nil"/>
              <w:bottom w:val="nil"/>
              <w:right w:val="nil"/>
            </w:tcBorders>
            <w:noWrap/>
            <w:vAlign w:val="center"/>
            <w:hideMark/>
          </w:tcPr>
          <w:p w14:paraId="66429DF8"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3.7352</w:t>
            </w:r>
          </w:p>
        </w:tc>
        <w:tc>
          <w:tcPr>
            <w:tcW w:w="1045" w:type="pct"/>
            <w:tcBorders>
              <w:top w:val="single" w:sz="4" w:space="0" w:color="auto"/>
              <w:left w:val="nil"/>
              <w:bottom w:val="nil"/>
              <w:right w:val="nil"/>
            </w:tcBorders>
            <w:noWrap/>
            <w:vAlign w:val="center"/>
            <w:hideMark/>
          </w:tcPr>
          <w:p w14:paraId="24B31507"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2.2411</w:t>
            </w:r>
          </w:p>
        </w:tc>
        <w:tc>
          <w:tcPr>
            <w:tcW w:w="1045" w:type="pct"/>
            <w:tcBorders>
              <w:top w:val="single" w:sz="4" w:space="0" w:color="auto"/>
              <w:left w:val="nil"/>
              <w:bottom w:val="nil"/>
              <w:right w:val="nil"/>
            </w:tcBorders>
            <w:noWrap/>
            <w:vAlign w:val="center"/>
            <w:hideMark/>
          </w:tcPr>
          <w:p w14:paraId="053A7088"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5.9763</w:t>
            </w:r>
          </w:p>
        </w:tc>
        <w:tc>
          <w:tcPr>
            <w:tcW w:w="1139" w:type="pct"/>
            <w:tcBorders>
              <w:top w:val="single" w:sz="4" w:space="0" w:color="auto"/>
              <w:left w:val="nil"/>
              <w:bottom w:val="nil"/>
              <w:right w:val="nil"/>
            </w:tcBorders>
            <w:noWrap/>
            <w:vAlign w:val="center"/>
            <w:hideMark/>
          </w:tcPr>
          <w:p w14:paraId="2DFBD3B8"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1.4941</w:t>
            </w:r>
          </w:p>
        </w:tc>
      </w:tr>
      <w:tr w:rsidR="00AA43A2" w:rsidRPr="00AA43A2" w14:paraId="0278D0B9" w14:textId="77777777" w:rsidTr="00C03EC6">
        <w:trPr>
          <w:trHeight w:hRule="exact" w:val="397"/>
        </w:trPr>
        <w:tc>
          <w:tcPr>
            <w:tcW w:w="726" w:type="pct"/>
            <w:tcBorders>
              <w:top w:val="nil"/>
              <w:left w:val="nil"/>
              <w:bottom w:val="nil"/>
              <w:right w:val="nil"/>
            </w:tcBorders>
            <w:vAlign w:val="center"/>
          </w:tcPr>
          <w:p w14:paraId="69F0E2AB" w14:textId="77777777" w:rsidR="00AA43A2" w:rsidRPr="00AA43A2" w:rsidRDefault="00AA43A2" w:rsidP="00AA43A2">
            <w:pPr>
              <w:spacing w:line="300" w:lineRule="auto"/>
              <w:outlineLvl w:val="0"/>
              <w:rPr>
                <w:rFonts w:ascii="Arial" w:eastAsia="Times New Roman" w:hAnsi="Arial" w:cs="Arial"/>
                <w:bCs/>
                <w:color w:val="000000"/>
                <w:sz w:val="20"/>
                <w:szCs w:val="20"/>
              </w:rPr>
            </w:pPr>
            <w:r w:rsidRPr="00AA43A2">
              <w:rPr>
                <w:rFonts w:ascii="Arial" w:eastAsia="Times New Roman" w:hAnsi="Arial" w:cs="Arial"/>
                <w:bCs/>
                <w:color w:val="000000"/>
                <w:sz w:val="20"/>
                <w:szCs w:val="20"/>
              </w:rPr>
              <w:t>KP2</w:t>
            </w:r>
          </w:p>
        </w:tc>
        <w:tc>
          <w:tcPr>
            <w:tcW w:w="1045" w:type="pct"/>
            <w:tcBorders>
              <w:top w:val="nil"/>
              <w:left w:val="nil"/>
              <w:bottom w:val="nil"/>
              <w:right w:val="nil"/>
            </w:tcBorders>
            <w:noWrap/>
            <w:vAlign w:val="center"/>
            <w:hideMark/>
          </w:tcPr>
          <w:p w14:paraId="5934AC29"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2.5671</w:t>
            </w:r>
          </w:p>
        </w:tc>
        <w:tc>
          <w:tcPr>
            <w:tcW w:w="1045" w:type="pct"/>
            <w:tcBorders>
              <w:top w:val="nil"/>
              <w:left w:val="nil"/>
              <w:bottom w:val="nil"/>
              <w:right w:val="nil"/>
            </w:tcBorders>
            <w:noWrap/>
            <w:vAlign w:val="center"/>
            <w:hideMark/>
          </w:tcPr>
          <w:p w14:paraId="54BD8C44"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2.9192</w:t>
            </w:r>
          </w:p>
        </w:tc>
        <w:tc>
          <w:tcPr>
            <w:tcW w:w="1045" w:type="pct"/>
            <w:tcBorders>
              <w:top w:val="nil"/>
              <w:left w:val="nil"/>
              <w:bottom w:val="nil"/>
              <w:right w:val="nil"/>
            </w:tcBorders>
            <w:noWrap/>
            <w:vAlign w:val="center"/>
            <w:hideMark/>
          </w:tcPr>
          <w:p w14:paraId="06BAF1B6"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5.4863</w:t>
            </w:r>
          </w:p>
        </w:tc>
        <w:tc>
          <w:tcPr>
            <w:tcW w:w="1139" w:type="pct"/>
            <w:tcBorders>
              <w:top w:val="nil"/>
              <w:left w:val="nil"/>
              <w:bottom w:val="nil"/>
              <w:right w:val="nil"/>
            </w:tcBorders>
            <w:noWrap/>
            <w:vAlign w:val="center"/>
            <w:hideMark/>
          </w:tcPr>
          <w:p w14:paraId="4CD780E6"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-0.3521</w:t>
            </w:r>
          </w:p>
        </w:tc>
      </w:tr>
      <w:tr w:rsidR="00AA43A2" w:rsidRPr="00AA43A2" w14:paraId="7D5607E9" w14:textId="77777777" w:rsidTr="00C03EC6">
        <w:trPr>
          <w:trHeight w:hRule="exact" w:val="397"/>
        </w:trPr>
        <w:tc>
          <w:tcPr>
            <w:tcW w:w="726" w:type="pct"/>
            <w:tcBorders>
              <w:top w:val="nil"/>
              <w:left w:val="nil"/>
              <w:bottom w:val="nil"/>
              <w:right w:val="nil"/>
            </w:tcBorders>
            <w:vAlign w:val="center"/>
          </w:tcPr>
          <w:p w14:paraId="6FEC0286" w14:textId="77777777" w:rsidR="00AA43A2" w:rsidRPr="00AA43A2" w:rsidRDefault="00AA43A2" w:rsidP="00AA43A2">
            <w:pPr>
              <w:spacing w:line="300" w:lineRule="auto"/>
              <w:outlineLvl w:val="0"/>
              <w:rPr>
                <w:rFonts w:ascii="Arial" w:eastAsia="Times New Roman" w:hAnsi="Arial" w:cs="Arial"/>
                <w:bCs/>
                <w:color w:val="000000"/>
                <w:sz w:val="20"/>
                <w:szCs w:val="20"/>
              </w:rPr>
            </w:pPr>
            <w:r w:rsidRPr="00AA43A2">
              <w:rPr>
                <w:rFonts w:ascii="Arial" w:eastAsia="Times New Roman" w:hAnsi="Arial" w:cs="Arial"/>
                <w:bCs/>
                <w:color w:val="000000"/>
                <w:sz w:val="20"/>
                <w:szCs w:val="20"/>
              </w:rPr>
              <w:t>KP3</w:t>
            </w:r>
          </w:p>
        </w:tc>
        <w:tc>
          <w:tcPr>
            <w:tcW w:w="1045" w:type="pct"/>
            <w:tcBorders>
              <w:top w:val="nil"/>
              <w:left w:val="nil"/>
              <w:bottom w:val="nil"/>
              <w:right w:val="nil"/>
            </w:tcBorders>
            <w:noWrap/>
            <w:vAlign w:val="center"/>
            <w:hideMark/>
          </w:tcPr>
          <w:p w14:paraId="4C29CD29"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4.6294</w:t>
            </w:r>
          </w:p>
        </w:tc>
        <w:tc>
          <w:tcPr>
            <w:tcW w:w="1045" w:type="pct"/>
            <w:tcBorders>
              <w:top w:val="nil"/>
              <w:left w:val="nil"/>
              <w:bottom w:val="nil"/>
              <w:right w:val="nil"/>
            </w:tcBorders>
            <w:noWrap/>
            <w:vAlign w:val="center"/>
            <w:hideMark/>
          </w:tcPr>
          <w:p w14:paraId="7AB07FD3"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1.7364</w:t>
            </w:r>
          </w:p>
        </w:tc>
        <w:tc>
          <w:tcPr>
            <w:tcW w:w="1045" w:type="pct"/>
            <w:tcBorders>
              <w:top w:val="nil"/>
              <w:left w:val="nil"/>
              <w:bottom w:val="nil"/>
              <w:right w:val="nil"/>
            </w:tcBorders>
            <w:noWrap/>
            <w:vAlign w:val="center"/>
            <w:hideMark/>
          </w:tcPr>
          <w:p w14:paraId="6024AB00"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6.3658</w:t>
            </w:r>
          </w:p>
        </w:tc>
        <w:tc>
          <w:tcPr>
            <w:tcW w:w="1139" w:type="pct"/>
            <w:tcBorders>
              <w:top w:val="nil"/>
              <w:left w:val="nil"/>
              <w:bottom w:val="nil"/>
              <w:right w:val="nil"/>
            </w:tcBorders>
            <w:noWrap/>
            <w:vAlign w:val="center"/>
            <w:hideMark/>
          </w:tcPr>
          <w:p w14:paraId="79C107D2"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2.8930</w:t>
            </w:r>
          </w:p>
        </w:tc>
      </w:tr>
      <w:tr w:rsidR="00AA43A2" w:rsidRPr="00AA43A2" w14:paraId="79BB65D8" w14:textId="77777777" w:rsidTr="00C03EC6">
        <w:trPr>
          <w:trHeight w:hRule="exact" w:val="397"/>
        </w:trPr>
        <w:tc>
          <w:tcPr>
            <w:tcW w:w="726" w:type="pct"/>
            <w:tcBorders>
              <w:top w:val="nil"/>
              <w:left w:val="nil"/>
              <w:bottom w:val="nil"/>
              <w:right w:val="nil"/>
            </w:tcBorders>
            <w:vAlign w:val="center"/>
          </w:tcPr>
          <w:p w14:paraId="687A62F6" w14:textId="77777777" w:rsidR="00AA43A2" w:rsidRPr="00AA43A2" w:rsidRDefault="00AA43A2" w:rsidP="00AA43A2">
            <w:pPr>
              <w:spacing w:line="300" w:lineRule="auto"/>
              <w:outlineLvl w:val="0"/>
              <w:rPr>
                <w:rFonts w:ascii="Arial" w:eastAsia="Times New Roman" w:hAnsi="Arial" w:cs="Arial"/>
                <w:bCs/>
                <w:color w:val="000000"/>
                <w:sz w:val="20"/>
                <w:szCs w:val="20"/>
              </w:rPr>
            </w:pPr>
            <w:r w:rsidRPr="00AA43A2">
              <w:rPr>
                <w:rFonts w:ascii="Arial" w:eastAsia="Times New Roman" w:hAnsi="Arial" w:cs="Arial"/>
                <w:bCs/>
                <w:color w:val="000000"/>
                <w:sz w:val="20"/>
                <w:szCs w:val="20"/>
              </w:rPr>
              <w:t>KP4</w:t>
            </w:r>
          </w:p>
        </w:tc>
        <w:tc>
          <w:tcPr>
            <w:tcW w:w="1045" w:type="pct"/>
            <w:tcBorders>
              <w:top w:val="nil"/>
              <w:left w:val="nil"/>
              <w:bottom w:val="nil"/>
              <w:right w:val="nil"/>
            </w:tcBorders>
            <w:noWrap/>
            <w:vAlign w:val="center"/>
            <w:hideMark/>
          </w:tcPr>
          <w:p w14:paraId="3A33782B"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3.6875</w:t>
            </w:r>
          </w:p>
        </w:tc>
        <w:tc>
          <w:tcPr>
            <w:tcW w:w="1045" w:type="pct"/>
            <w:tcBorders>
              <w:top w:val="nil"/>
              <w:left w:val="nil"/>
              <w:bottom w:val="nil"/>
              <w:right w:val="nil"/>
            </w:tcBorders>
            <w:noWrap/>
            <w:vAlign w:val="center"/>
            <w:hideMark/>
          </w:tcPr>
          <w:p w14:paraId="6395ECAD"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2.5144</w:t>
            </w:r>
          </w:p>
        </w:tc>
        <w:tc>
          <w:tcPr>
            <w:tcW w:w="1045" w:type="pct"/>
            <w:tcBorders>
              <w:top w:val="nil"/>
              <w:left w:val="nil"/>
              <w:bottom w:val="nil"/>
              <w:right w:val="nil"/>
            </w:tcBorders>
            <w:noWrap/>
            <w:vAlign w:val="center"/>
            <w:hideMark/>
          </w:tcPr>
          <w:p w14:paraId="09A587A3"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6.2019</w:t>
            </w:r>
          </w:p>
        </w:tc>
        <w:tc>
          <w:tcPr>
            <w:tcW w:w="1139" w:type="pct"/>
            <w:tcBorders>
              <w:top w:val="nil"/>
              <w:left w:val="nil"/>
              <w:bottom w:val="nil"/>
              <w:right w:val="nil"/>
            </w:tcBorders>
            <w:noWrap/>
            <w:vAlign w:val="center"/>
            <w:hideMark/>
          </w:tcPr>
          <w:p w14:paraId="2E512313"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1.1731</w:t>
            </w:r>
          </w:p>
        </w:tc>
      </w:tr>
      <w:tr w:rsidR="00AA43A2" w:rsidRPr="00AA43A2" w14:paraId="1658364A" w14:textId="77777777" w:rsidTr="00C03EC6">
        <w:trPr>
          <w:trHeight w:hRule="exact" w:val="397"/>
        </w:trPr>
        <w:tc>
          <w:tcPr>
            <w:tcW w:w="726" w:type="pct"/>
            <w:tcBorders>
              <w:top w:val="nil"/>
              <w:left w:val="nil"/>
              <w:bottom w:val="nil"/>
              <w:right w:val="nil"/>
            </w:tcBorders>
            <w:vAlign w:val="center"/>
          </w:tcPr>
          <w:p w14:paraId="253EF66C" w14:textId="77777777" w:rsidR="00AA43A2" w:rsidRPr="00AA43A2" w:rsidRDefault="00AA43A2" w:rsidP="00AA43A2">
            <w:pPr>
              <w:spacing w:line="300" w:lineRule="auto"/>
              <w:outlineLvl w:val="0"/>
              <w:rPr>
                <w:rFonts w:ascii="Arial" w:eastAsia="Times New Roman" w:hAnsi="Arial" w:cs="Arial"/>
                <w:bCs/>
                <w:color w:val="000000"/>
                <w:sz w:val="20"/>
                <w:szCs w:val="20"/>
              </w:rPr>
            </w:pPr>
            <w:r w:rsidRPr="00AA43A2">
              <w:rPr>
                <w:rFonts w:ascii="Arial" w:eastAsia="Times New Roman" w:hAnsi="Arial" w:cs="Arial"/>
                <w:bCs/>
                <w:color w:val="000000"/>
                <w:sz w:val="20"/>
                <w:szCs w:val="20"/>
              </w:rPr>
              <w:t>KP5</w:t>
            </w:r>
          </w:p>
        </w:tc>
        <w:tc>
          <w:tcPr>
            <w:tcW w:w="1045" w:type="pct"/>
            <w:tcBorders>
              <w:top w:val="nil"/>
              <w:left w:val="nil"/>
              <w:bottom w:val="nil"/>
              <w:right w:val="nil"/>
            </w:tcBorders>
            <w:noWrap/>
            <w:vAlign w:val="center"/>
            <w:hideMark/>
          </w:tcPr>
          <w:p w14:paraId="7B8056E3"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2.9348</w:t>
            </w:r>
          </w:p>
        </w:tc>
        <w:tc>
          <w:tcPr>
            <w:tcW w:w="1045" w:type="pct"/>
            <w:tcBorders>
              <w:top w:val="nil"/>
              <w:left w:val="nil"/>
              <w:bottom w:val="nil"/>
              <w:right w:val="nil"/>
            </w:tcBorders>
            <w:noWrap/>
            <w:vAlign w:val="center"/>
            <w:hideMark/>
          </w:tcPr>
          <w:p w14:paraId="05923183"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3.0111</w:t>
            </w:r>
          </w:p>
        </w:tc>
        <w:tc>
          <w:tcPr>
            <w:tcW w:w="1045" w:type="pct"/>
            <w:tcBorders>
              <w:top w:val="nil"/>
              <w:left w:val="nil"/>
              <w:bottom w:val="nil"/>
              <w:right w:val="nil"/>
            </w:tcBorders>
            <w:noWrap/>
            <w:vAlign w:val="center"/>
            <w:hideMark/>
          </w:tcPr>
          <w:p w14:paraId="5482298F"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5.9459</w:t>
            </w:r>
          </w:p>
        </w:tc>
        <w:tc>
          <w:tcPr>
            <w:tcW w:w="1139" w:type="pct"/>
            <w:tcBorders>
              <w:top w:val="nil"/>
              <w:left w:val="nil"/>
              <w:bottom w:val="nil"/>
              <w:right w:val="nil"/>
            </w:tcBorders>
            <w:noWrap/>
            <w:vAlign w:val="center"/>
            <w:hideMark/>
          </w:tcPr>
          <w:p w14:paraId="20812AEB"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-0.0763</w:t>
            </w:r>
          </w:p>
        </w:tc>
      </w:tr>
      <w:tr w:rsidR="00AA43A2" w:rsidRPr="00AA43A2" w14:paraId="286300A1" w14:textId="77777777" w:rsidTr="00C03EC6">
        <w:trPr>
          <w:trHeight w:hRule="exact" w:val="397"/>
        </w:trPr>
        <w:tc>
          <w:tcPr>
            <w:tcW w:w="726" w:type="pct"/>
            <w:tcBorders>
              <w:top w:val="nil"/>
              <w:left w:val="nil"/>
              <w:bottom w:val="single" w:sz="4" w:space="0" w:color="auto"/>
              <w:right w:val="nil"/>
            </w:tcBorders>
            <w:vAlign w:val="center"/>
          </w:tcPr>
          <w:p w14:paraId="51278235" w14:textId="77777777" w:rsidR="00AA43A2" w:rsidRPr="00AA43A2" w:rsidRDefault="00AA43A2" w:rsidP="00AA43A2">
            <w:pPr>
              <w:spacing w:line="300" w:lineRule="auto"/>
              <w:outlineLvl w:val="0"/>
              <w:rPr>
                <w:rFonts w:ascii="Arial" w:eastAsia="Times New Roman" w:hAnsi="Arial" w:cs="Arial"/>
                <w:bCs/>
                <w:color w:val="000000"/>
                <w:sz w:val="20"/>
                <w:szCs w:val="20"/>
              </w:rPr>
            </w:pPr>
            <w:r w:rsidRPr="00AA43A2">
              <w:rPr>
                <w:rFonts w:ascii="Arial" w:eastAsia="Times New Roman" w:hAnsi="Arial" w:cs="Arial"/>
                <w:bCs/>
                <w:color w:val="000000"/>
                <w:sz w:val="20"/>
                <w:szCs w:val="20"/>
              </w:rPr>
              <w:t>KP6</w:t>
            </w:r>
          </w:p>
        </w:tc>
        <w:tc>
          <w:tcPr>
            <w:tcW w:w="1045" w:type="pct"/>
            <w:tcBorders>
              <w:top w:val="nil"/>
              <w:left w:val="nil"/>
              <w:bottom w:val="single" w:sz="4" w:space="0" w:color="auto"/>
              <w:right w:val="nil"/>
            </w:tcBorders>
            <w:noWrap/>
            <w:vAlign w:val="center"/>
            <w:hideMark/>
          </w:tcPr>
          <w:p w14:paraId="73BB1679"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4.9507</w:t>
            </w:r>
          </w:p>
        </w:tc>
        <w:tc>
          <w:tcPr>
            <w:tcW w:w="1045" w:type="pct"/>
            <w:tcBorders>
              <w:top w:val="nil"/>
              <w:left w:val="nil"/>
              <w:bottom w:val="single" w:sz="4" w:space="0" w:color="auto"/>
              <w:right w:val="nil"/>
            </w:tcBorders>
            <w:noWrap/>
            <w:vAlign w:val="center"/>
            <w:hideMark/>
          </w:tcPr>
          <w:p w14:paraId="6B5A1D62"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1.4103</w:t>
            </w:r>
          </w:p>
        </w:tc>
        <w:tc>
          <w:tcPr>
            <w:tcW w:w="1045" w:type="pct"/>
            <w:tcBorders>
              <w:top w:val="nil"/>
              <w:left w:val="nil"/>
              <w:bottom w:val="single" w:sz="4" w:space="0" w:color="auto"/>
              <w:right w:val="nil"/>
            </w:tcBorders>
            <w:noWrap/>
            <w:vAlign w:val="center"/>
            <w:hideMark/>
          </w:tcPr>
          <w:p w14:paraId="7B263B7F"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6.3610</w:t>
            </w:r>
          </w:p>
        </w:tc>
        <w:tc>
          <w:tcPr>
            <w:tcW w:w="1139" w:type="pct"/>
            <w:tcBorders>
              <w:top w:val="nil"/>
              <w:left w:val="nil"/>
              <w:bottom w:val="single" w:sz="4" w:space="0" w:color="auto"/>
              <w:right w:val="nil"/>
            </w:tcBorders>
            <w:noWrap/>
            <w:vAlign w:val="center"/>
            <w:hideMark/>
          </w:tcPr>
          <w:p w14:paraId="04C583EE" w14:textId="77777777" w:rsidR="00AA43A2" w:rsidRPr="00AA43A2" w:rsidRDefault="00AA43A2" w:rsidP="00AA43A2">
            <w:pPr>
              <w:rPr>
                <w:rFonts w:ascii="Arial" w:hAnsi="Arial" w:cs="Arial"/>
                <w:bCs/>
                <w:color w:val="000000"/>
                <w:sz w:val="20"/>
                <w:szCs w:val="20"/>
              </w:rPr>
            </w:pPr>
            <w:r w:rsidRPr="00AA43A2">
              <w:rPr>
                <w:rFonts w:ascii="Arial" w:hAnsi="Arial" w:cs="Arial"/>
                <w:bCs/>
                <w:color w:val="000000"/>
                <w:sz w:val="20"/>
                <w:szCs w:val="20"/>
              </w:rPr>
              <w:t>3.5404</w:t>
            </w:r>
          </w:p>
        </w:tc>
      </w:tr>
    </w:tbl>
    <w:p w14:paraId="791BD8AE" w14:textId="77777777" w:rsidR="00F03598" w:rsidRDefault="00F03598" w:rsidP="00E618DC">
      <w:pPr>
        <w:spacing w:after="120" w:line="300" w:lineRule="auto"/>
        <w:jc w:val="both"/>
      </w:pPr>
    </w:p>
    <w:p w14:paraId="3C549441" w14:textId="77777777" w:rsidR="00183493" w:rsidRDefault="00183493" w:rsidP="00183493">
      <w:pPr>
        <w:keepNext/>
        <w:spacing w:after="120" w:line="300" w:lineRule="auto"/>
        <w:rPr>
          <w:rFonts w:ascii="Arial" w:hAnsi="Arial" w:cs="Arial"/>
          <w:sz w:val="20"/>
          <w:szCs w:val="20"/>
        </w:rPr>
      </w:pPr>
      <w:r w:rsidRPr="00183493">
        <w:rPr>
          <w:rFonts w:ascii="Arial" w:hAnsi="Arial" w:cs="Arial"/>
          <w:b/>
          <w:noProof/>
          <w:sz w:val="20"/>
          <w:szCs w:val="20"/>
        </w:rPr>
        <w:lastRenderedPageBreak/>
        <w:drawing>
          <wp:inline distT="0" distB="0" distL="0" distR="0" wp14:anchorId="204E2A41" wp14:editId="71B7BB67">
            <wp:extent cx="4571985" cy="2169042"/>
            <wp:effectExtent l="19050" t="0" r="19065" b="2658"/>
            <wp:docPr id="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C863FF" w14:textId="77777777" w:rsidR="00AA43A2" w:rsidRDefault="004D118F" w:rsidP="00D17F74">
      <w:pPr>
        <w:rPr>
          <w:rFonts w:ascii="Arial" w:hAnsi="Arial" w:cs="Arial"/>
          <w:bCs/>
          <w:sz w:val="20"/>
          <w:szCs w:val="20"/>
        </w:rPr>
      </w:pPr>
      <w:r>
        <w:rPr>
          <w:rFonts w:ascii="Arial" w:hAnsi="Arial" w:cs="Arial"/>
          <w:bCs/>
          <w:sz w:val="20"/>
          <w:szCs w:val="20"/>
        </w:rPr>
        <w:t>Fig. 3</w:t>
      </w:r>
      <w:r w:rsidR="00AA43A2" w:rsidRPr="00183493">
        <w:rPr>
          <w:rFonts w:ascii="Arial" w:hAnsi="Arial" w:cs="Arial"/>
          <w:bCs/>
          <w:sz w:val="20"/>
          <w:szCs w:val="20"/>
        </w:rPr>
        <w:t xml:space="preserve"> The cause effect relation digraph (knowledge provider)</w:t>
      </w:r>
    </w:p>
    <w:p w14:paraId="09B0F413" w14:textId="77777777" w:rsidR="00D17F74" w:rsidRDefault="00D17F74" w:rsidP="00D17F74">
      <w:pPr>
        <w:rPr>
          <w:rFonts w:ascii="Arial" w:hAnsi="Arial" w:cs="Arial"/>
          <w:bCs/>
          <w:sz w:val="20"/>
          <w:szCs w:val="20"/>
        </w:rPr>
      </w:pPr>
    </w:p>
    <w:p w14:paraId="6490267C" w14:textId="77777777" w:rsidR="004C5547" w:rsidRPr="004C5547" w:rsidRDefault="00AD5F14" w:rsidP="004C5547">
      <w:pPr>
        <w:pStyle w:val="ListParagraph"/>
        <w:numPr>
          <w:ilvl w:val="0"/>
          <w:numId w:val="4"/>
        </w:numPr>
        <w:spacing w:after="0"/>
        <w:rPr>
          <w:rFonts w:ascii="Arial" w:hAnsi="Arial" w:cs="Arial"/>
          <w:b/>
          <w:bCs/>
          <w:sz w:val="20"/>
          <w:szCs w:val="20"/>
        </w:rPr>
      </w:pPr>
      <w:r>
        <w:rPr>
          <w:rFonts w:ascii="Arial" w:hAnsi="Arial" w:cs="Arial"/>
          <w:b/>
          <w:bCs/>
          <w:sz w:val="20"/>
          <w:szCs w:val="20"/>
        </w:rPr>
        <w:t>CONCLUSION</w:t>
      </w:r>
    </w:p>
    <w:p w14:paraId="09215BFC" w14:textId="77777777" w:rsidR="004C5547" w:rsidRPr="004C5547" w:rsidRDefault="004C5547" w:rsidP="004C5547">
      <w:pPr>
        <w:jc w:val="both"/>
        <w:rPr>
          <w:rFonts w:ascii="Arial" w:hAnsi="Arial" w:cs="Arial"/>
          <w:bCs/>
          <w:sz w:val="20"/>
          <w:szCs w:val="20"/>
        </w:rPr>
      </w:pPr>
    </w:p>
    <w:p w14:paraId="5FD28C77" w14:textId="77777777" w:rsidR="004C5547" w:rsidRDefault="004C5547" w:rsidP="004C5547">
      <w:pPr>
        <w:spacing w:after="200"/>
        <w:jc w:val="both"/>
        <w:rPr>
          <w:rFonts w:ascii="Arial" w:hAnsi="Arial" w:cs="Arial"/>
          <w:bCs/>
          <w:sz w:val="20"/>
          <w:szCs w:val="20"/>
        </w:rPr>
      </w:pPr>
      <w:r w:rsidRPr="004C5547">
        <w:rPr>
          <w:rFonts w:ascii="Arial" w:hAnsi="Arial" w:cs="Arial"/>
          <w:bCs/>
          <w:sz w:val="20"/>
          <w:szCs w:val="20"/>
        </w:rPr>
        <w:t>This integrated FAHP and FDEMATEL approach is implemented to identify the important critical success factors of KF in organization. This methodology explicitly handles vague and ambiguous data and has been used to improve the imprecise ranking of most significant KFEs to KF. Total 25 KFEs were identified and from combination of fuzzy AHP and fuzzy DEMATEL identified important major criteria like knowledge provider will better improve knowledge flow performance. Moreover, important CSFs from sub criteria are updated knowledge, motivation and reward policies to share knowledge, trust in people, avoid NIH syndrome, the capable of trustworthy source, organizational structure, leadership support, knowledge codification.</w:t>
      </w:r>
    </w:p>
    <w:p w14:paraId="2B639ABB" w14:textId="77777777" w:rsidR="00CA2B3E" w:rsidRDefault="00AD5F14" w:rsidP="00AD5F14">
      <w:pPr>
        <w:jc w:val="left"/>
        <w:rPr>
          <w:rFonts w:ascii="Arial" w:hAnsi="Arial" w:cs="Arial"/>
          <w:b/>
          <w:bCs/>
          <w:sz w:val="20"/>
          <w:szCs w:val="20"/>
        </w:rPr>
      </w:pPr>
      <w:r w:rsidRPr="00AD5F14">
        <w:rPr>
          <w:rFonts w:ascii="Arial" w:hAnsi="Arial" w:cs="Arial"/>
          <w:b/>
          <w:bCs/>
          <w:sz w:val="20"/>
          <w:szCs w:val="20"/>
        </w:rPr>
        <w:t>REFERENCES</w:t>
      </w:r>
    </w:p>
    <w:p w14:paraId="2733C82F" w14:textId="77777777" w:rsidR="00AD5F14" w:rsidRPr="00AD5F14" w:rsidRDefault="00AD5F14" w:rsidP="00AD5F14">
      <w:pPr>
        <w:rPr>
          <w:rFonts w:ascii="Arial" w:hAnsi="Arial" w:cs="Arial"/>
          <w:b/>
          <w:bCs/>
          <w:sz w:val="20"/>
          <w:szCs w:val="20"/>
        </w:rPr>
      </w:pPr>
    </w:p>
    <w:p w14:paraId="08937B29"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 xml:space="preserve">Akhavan, P., Jafari, M. and </w:t>
      </w:r>
      <w:proofErr w:type="spellStart"/>
      <w:r w:rsidRPr="00CA2B3E">
        <w:rPr>
          <w:rFonts w:ascii="Arial" w:hAnsi="Arial" w:cs="Arial"/>
          <w:bCs/>
          <w:sz w:val="20"/>
          <w:szCs w:val="20"/>
        </w:rPr>
        <w:t>Fathian</w:t>
      </w:r>
      <w:proofErr w:type="spellEnd"/>
      <w:r w:rsidRPr="00CA2B3E">
        <w:rPr>
          <w:rFonts w:ascii="Arial" w:hAnsi="Arial" w:cs="Arial"/>
          <w:bCs/>
          <w:sz w:val="20"/>
          <w:szCs w:val="20"/>
        </w:rPr>
        <w:t>, M. (2006)</w:t>
      </w:r>
      <w:r w:rsidR="00916ABF">
        <w:rPr>
          <w:rFonts w:ascii="Arial" w:hAnsi="Arial" w:cs="Arial"/>
          <w:bCs/>
          <w:sz w:val="20"/>
          <w:szCs w:val="20"/>
        </w:rPr>
        <w:t>,</w:t>
      </w:r>
      <w:r w:rsidRPr="00CA2B3E">
        <w:rPr>
          <w:rFonts w:ascii="Arial" w:hAnsi="Arial" w:cs="Arial"/>
          <w:bCs/>
          <w:sz w:val="20"/>
          <w:szCs w:val="20"/>
        </w:rPr>
        <w:t xml:space="preserve"> ‘Critical success factors of KM systems: a multi-case analysis’, European Business Review, Vol. 18</w:t>
      </w:r>
      <w:r w:rsidR="00916ABF">
        <w:rPr>
          <w:rFonts w:ascii="Arial" w:hAnsi="Arial" w:cs="Arial"/>
          <w:bCs/>
          <w:sz w:val="20"/>
          <w:szCs w:val="20"/>
        </w:rPr>
        <w:t>,</w:t>
      </w:r>
      <w:r w:rsidRPr="00CA2B3E">
        <w:rPr>
          <w:rFonts w:ascii="Arial" w:hAnsi="Arial" w:cs="Arial"/>
          <w:bCs/>
          <w:sz w:val="20"/>
          <w:szCs w:val="20"/>
        </w:rPr>
        <w:t xml:space="preserve"> No. 2, pp.97-113.</w:t>
      </w:r>
    </w:p>
    <w:p w14:paraId="1CE87D55"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Al-</w:t>
      </w:r>
      <w:proofErr w:type="spellStart"/>
      <w:r w:rsidRPr="00CA2B3E">
        <w:rPr>
          <w:rFonts w:ascii="Arial" w:hAnsi="Arial" w:cs="Arial"/>
          <w:bCs/>
          <w:sz w:val="20"/>
          <w:szCs w:val="20"/>
        </w:rPr>
        <w:t>Adaileh</w:t>
      </w:r>
      <w:proofErr w:type="spellEnd"/>
      <w:r w:rsidRPr="00CA2B3E">
        <w:rPr>
          <w:rFonts w:ascii="Arial" w:hAnsi="Arial" w:cs="Arial"/>
          <w:bCs/>
          <w:sz w:val="20"/>
          <w:szCs w:val="20"/>
        </w:rPr>
        <w:t>, R.M. and Al-</w:t>
      </w:r>
      <w:proofErr w:type="spellStart"/>
      <w:r w:rsidRPr="00CA2B3E">
        <w:rPr>
          <w:rFonts w:ascii="Arial" w:hAnsi="Arial" w:cs="Arial"/>
          <w:bCs/>
          <w:sz w:val="20"/>
          <w:szCs w:val="20"/>
        </w:rPr>
        <w:t>Atawi</w:t>
      </w:r>
      <w:proofErr w:type="spellEnd"/>
      <w:r w:rsidRPr="00CA2B3E">
        <w:rPr>
          <w:rFonts w:ascii="Arial" w:hAnsi="Arial" w:cs="Arial"/>
          <w:bCs/>
          <w:sz w:val="20"/>
          <w:szCs w:val="20"/>
        </w:rPr>
        <w:t>, M.S. (2011)</w:t>
      </w:r>
      <w:r w:rsidR="00916ABF">
        <w:rPr>
          <w:rFonts w:ascii="Arial" w:hAnsi="Arial" w:cs="Arial"/>
          <w:bCs/>
          <w:sz w:val="20"/>
          <w:szCs w:val="20"/>
        </w:rPr>
        <w:t>,</w:t>
      </w:r>
      <w:r w:rsidRPr="00CA2B3E">
        <w:rPr>
          <w:rFonts w:ascii="Arial" w:hAnsi="Arial" w:cs="Arial"/>
          <w:bCs/>
          <w:sz w:val="20"/>
          <w:szCs w:val="20"/>
        </w:rPr>
        <w:t xml:space="preserve"> ‘Organizational cultural impact on knowledge exchange: Saudi Telecom context’, Journal of Knowledge Management, Vol. 15</w:t>
      </w:r>
      <w:r w:rsidR="00916ABF">
        <w:rPr>
          <w:rFonts w:ascii="Arial" w:hAnsi="Arial" w:cs="Arial"/>
          <w:bCs/>
          <w:sz w:val="20"/>
          <w:szCs w:val="20"/>
        </w:rPr>
        <w:t>,</w:t>
      </w:r>
      <w:r w:rsidRPr="00CA2B3E">
        <w:rPr>
          <w:rFonts w:ascii="Arial" w:hAnsi="Arial" w:cs="Arial"/>
          <w:bCs/>
          <w:sz w:val="20"/>
          <w:szCs w:val="20"/>
        </w:rPr>
        <w:t xml:space="preserve"> No. 2, pp.212-30.</w:t>
      </w:r>
    </w:p>
    <w:p w14:paraId="1E1CEA84"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Al-Alawi, A.I., Al-</w:t>
      </w:r>
      <w:proofErr w:type="spellStart"/>
      <w:r w:rsidRPr="00CA2B3E">
        <w:rPr>
          <w:rFonts w:ascii="Arial" w:hAnsi="Arial" w:cs="Arial"/>
          <w:bCs/>
          <w:sz w:val="20"/>
          <w:szCs w:val="20"/>
        </w:rPr>
        <w:t>Marzooqi</w:t>
      </w:r>
      <w:proofErr w:type="spellEnd"/>
      <w:r w:rsidRPr="00CA2B3E">
        <w:rPr>
          <w:rFonts w:ascii="Arial" w:hAnsi="Arial" w:cs="Arial"/>
          <w:bCs/>
          <w:sz w:val="20"/>
          <w:szCs w:val="20"/>
        </w:rPr>
        <w:t>, N.Y. and Mohammed, Y.F. (2007)</w:t>
      </w:r>
      <w:r w:rsidR="00916ABF">
        <w:rPr>
          <w:rFonts w:ascii="Arial" w:hAnsi="Arial" w:cs="Arial"/>
          <w:bCs/>
          <w:sz w:val="20"/>
          <w:szCs w:val="20"/>
        </w:rPr>
        <w:t>,</w:t>
      </w:r>
      <w:r w:rsidRPr="00CA2B3E">
        <w:rPr>
          <w:rFonts w:ascii="Arial" w:hAnsi="Arial" w:cs="Arial"/>
          <w:bCs/>
          <w:sz w:val="20"/>
          <w:szCs w:val="20"/>
        </w:rPr>
        <w:t xml:space="preserve"> ‘Organizational culture and knowledge sharing: critical success factors’, Journal of Knowledge Management, Vol. 11</w:t>
      </w:r>
      <w:r w:rsidR="00916ABF">
        <w:rPr>
          <w:rFonts w:ascii="Arial" w:hAnsi="Arial" w:cs="Arial"/>
          <w:bCs/>
          <w:sz w:val="20"/>
          <w:szCs w:val="20"/>
        </w:rPr>
        <w:t>,</w:t>
      </w:r>
      <w:r w:rsidRPr="00CA2B3E">
        <w:rPr>
          <w:rFonts w:ascii="Arial" w:hAnsi="Arial" w:cs="Arial"/>
          <w:bCs/>
          <w:sz w:val="20"/>
          <w:szCs w:val="20"/>
        </w:rPr>
        <w:t xml:space="preserve"> No. 2, pp.22-42.</w:t>
      </w:r>
    </w:p>
    <w:p w14:paraId="565D8C1D"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Barney, J. (1991)</w:t>
      </w:r>
      <w:r w:rsidR="00916ABF">
        <w:rPr>
          <w:rFonts w:ascii="Arial" w:hAnsi="Arial" w:cs="Arial"/>
          <w:bCs/>
          <w:sz w:val="20"/>
          <w:szCs w:val="20"/>
        </w:rPr>
        <w:t>,</w:t>
      </w:r>
      <w:r w:rsidRPr="00CA2B3E">
        <w:rPr>
          <w:rFonts w:ascii="Arial" w:hAnsi="Arial" w:cs="Arial"/>
          <w:bCs/>
          <w:sz w:val="20"/>
          <w:szCs w:val="20"/>
        </w:rPr>
        <w:t xml:space="preserve"> ‘Firm Resources and Sustained Competitive Advantage’, Journal of Management, Vol.17</w:t>
      </w:r>
      <w:r w:rsidR="00916ABF">
        <w:rPr>
          <w:rFonts w:ascii="Arial" w:hAnsi="Arial" w:cs="Arial"/>
          <w:bCs/>
          <w:sz w:val="20"/>
          <w:szCs w:val="20"/>
        </w:rPr>
        <w:t>,</w:t>
      </w:r>
      <w:r w:rsidRPr="00CA2B3E">
        <w:rPr>
          <w:rFonts w:ascii="Arial" w:hAnsi="Arial" w:cs="Arial"/>
          <w:bCs/>
          <w:sz w:val="20"/>
          <w:szCs w:val="20"/>
        </w:rPr>
        <w:t xml:space="preserve"> No.1, pp.99-120.</w:t>
      </w:r>
    </w:p>
    <w:p w14:paraId="5DD51D49"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Bashiri, M. and Badri, H. (2011)</w:t>
      </w:r>
      <w:r w:rsidR="00916ABF">
        <w:rPr>
          <w:rFonts w:ascii="Arial" w:hAnsi="Arial" w:cs="Arial"/>
          <w:bCs/>
          <w:sz w:val="20"/>
          <w:szCs w:val="20"/>
        </w:rPr>
        <w:t>,</w:t>
      </w:r>
      <w:r w:rsidRPr="00CA2B3E">
        <w:rPr>
          <w:rFonts w:ascii="Arial" w:hAnsi="Arial" w:cs="Arial"/>
          <w:bCs/>
          <w:sz w:val="20"/>
          <w:szCs w:val="20"/>
        </w:rPr>
        <w:t xml:space="preserve"> ‘A group decision making procedure for fuzzy interactive linear assignment programming’, Expert System Application, Vol. 38</w:t>
      </w:r>
      <w:r w:rsidR="00916ABF">
        <w:rPr>
          <w:rFonts w:ascii="Arial" w:hAnsi="Arial" w:cs="Arial"/>
          <w:bCs/>
          <w:sz w:val="20"/>
          <w:szCs w:val="20"/>
        </w:rPr>
        <w:t>,</w:t>
      </w:r>
      <w:r w:rsidRPr="00CA2B3E">
        <w:rPr>
          <w:rFonts w:ascii="Arial" w:hAnsi="Arial" w:cs="Arial"/>
          <w:bCs/>
          <w:sz w:val="20"/>
          <w:szCs w:val="20"/>
        </w:rPr>
        <w:t xml:space="preserve"> No. 5, pp.5561-5568.</w:t>
      </w:r>
    </w:p>
    <w:p w14:paraId="53D150CF"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Beckman, T. (1999)</w:t>
      </w:r>
      <w:r w:rsidR="00916ABF">
        <w:rPr>
          <w:rFonts w:ascii="Arial" w:hAnsi="Arial" w:cs="Arial"/>
          <w:bCs/>
          <w:sz w:val="20"/>
          <w:szCs w:val="20"/>
        </w:rPr>
        <w:t>,</w:t>
      </w:r>
      <w:r w:rsidRPr="00CA2B3E">
        <w:rPr>
          <w:rFonts w:ascii="Arial" w:hAnsi="Arial" w:cs="Arial"/>
          <w:bCs/>
          <w:sz w:val="20"/>
          <w:szCs w:val="20"/>
        </w:rPr>
        <w:t xml:space="preserve"> ‘The current state of knowledge management’ In Liebowitz, J. (Eds), Knowledge Management Handbook, CRC Press, Boca Raton, FL.</w:t>
      </w:r>
    </w:p>
    <w:p w14:paraId="2016067E"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Cheng, J.H. (2011)</w:t>
      </w:r>
      <w:r w:rsidR="00916ABF">
        <w:rPr>
          <w:rFonts w:ascii="Arial" w:hAnsi="Arial" w:cs="Arial"/>
          <w:bCs/>
          <w:sz w:val="20"/>
          <w:szCs w:val="20"/>
        </w:rPr>
        <w:t>,</w:t>
      </w:r>
      <w:r w:rsidRPr="00CA2B3E">
        <w:rPr>
          <w:rFonts w:ascii="Arial" w:hAnsi="Arial" w:cs="Arial"/>
          <w:bCs/>
          <w:sz w:val="20"/>
          <w:szCs w:val="20"/>
        </w:rPr>
        <w:t xml:space="preserve"> ‘Inter-organizational relationships and information sharing in supply chains’, International Journal of Information Management, Vol. 31</w:t>
      </w:r>
      <w:r w:rsidR="00916ABF">
        <w:rPr>
          <w:rFonts w:ascii="Arial" w:hAnsi="Arial" w:cs="Arial"/>
          <w:bCs/>
          <w:sz w:val="20"/>
          <w:szCs w:val="20"/>
        </w:rPr>
        <w:t>,</w:t>
      </w:r>
      <w:r w:rsidRPr="00CA2B3E">
        <w:rPr>
          <w:rFonts w:ascii="Arial" w:hAnsi="Arial" w:cs="Arial"/>
          <w:bCs/>
          <w:sz w:val="20"/>
          <w:szCs w:val="20"/>
        </w:rPr>
        <w:t xml:space="preserve"> No. 4, pp.374-384.</w:t>
      </w:r>
    </w:p>
    <w:p w14:paraId="0803DBD4"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Chennamaneni, A. (2006) Determinants of knowledge sharing behaviors: Developing and testing an integrated theoretical model. PhD thesis, University of Texas Arlington.</w:t>
      </w:r>
    </w:p>
    <w:p w14:paraId="17151581"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 xml:space="preserve">Davenport, T. </w:t>
      </w:r>
      <w:proofErr w:type="gramStart"/>
      <w:r w:rsidRPr="00CA2B3E">
        <w:rPr>
          <w:rFonts w:ascii="Arial" w:hAnsi="Arial" w:cs="Arial"/>
          <w:bCs/>
          <w:sz w:val="20"/>
          <w:szCs w:val="20"/>
        </w:rPr>
        <w:t>H.</w:t>
      </w:r>
      <w:r w:rsidR="00916ABF">
        <w:rPr>
          <w:rFonts w:ascii="Arial" w:hAnsi="Arial" w:cs="Arial"/>
          <w:bCs/>
          <w:sz w:val="20"/>
          <w:szCs w:val="20"/>
        </w:rPr>
        <w:t>(</w:t>
      </w:r>
      <w:proofErr w:type="gramEnd"/>
      <w:r w:rsidR="00916ABF" w:rsidRPr="00CA2B3E">
        <w:rPr>
          <w:rFonts w:ascii="Arial" w:hAnsi="Arial" w:cs="Arial"/>
          <w:bCs/>
          <w:sz w:val="20"/>
          <w:szCs w:val="20"/>
        </w:rPr>
        <w:t>1997</w:t>
      </w:r>
      <w:r w:rsidR="00916ABF">
        <w:rPr>
          <w:rFonts w:ascii="Arial" w:hAnsi="Arial" w:cs="Arial"/>
          <w:bCs/>
          <w:sz w:val="20"/>
          <w:szCs w:val="20"/>
        </w:rPr>
        <w:t>)</w:t>
      </w:r>
      <w:r w:rsidRPr="00CA2B3E">
        <w:rPr>
          <w:rFonts w:ascii="Arial" w:hAnsi="Arial" w:cs="Arial"/>
          <w:bCs/>
          <w:sz w:val="20"/>
          <w:szCs w:val="20"/>
        </w:rPr>
        <w:t xml:space="preserve"> Information Ecology</w:t>
      </w:r>
      <w:r w:rsidR="00916ABF">
        <w:rPr>
          <w:rFonts w:ascii="Arial" w:hAnsi="Arial" w:cs="Arial"/>
          <w:bCs/>
          <w:sz w:val="20"/>
          <w:szCs w:val="20"/>
        </w:rPr>
        <w:t>,</w:t>
      </w:r>
      <w:r w:rsidRPr="00CA2B3E">
        <w:rPr>
          <w:rFonts w:ascii="Arial" w:hAnsi="Arial" w:cs="Arial"/>
          <w:bCs/>
          <w:sz w:val="20"/>
          <w:szCs w:val="20"/>
        </w:rPr>
        <w:t xml:space="preserve"> Oxford University Press,</w:t>
      </w:r>
      <w:r w:rsidR="00916ABF" w:rsidRPr="00916ABF">
        <w:rPr>
          <w:rFonts w:ascii="Arial" w:hAnsi="Arial" w:cs="Arial"/>
          <w:bCs/>
          <w:sz w:val="20"/>
          <w:szCs w:val="20"/>
        </w:rPr>
        <w:t xml:space="preserve"> </w:t>
      </w:r>
      <w:r w:rsidR="00916ABF" w:rsidRPr="00CA2B3E">
        <w:rPr>
          <w:rFonts w:ascii="Arial" w:hAnsi="Arial" w:cs="Arial"/>
          <w:bCs/>
          <w:sz w:val="20"/>
          <w:szCs w:val="20"/>
        </w:rPr>
        <w:t>New York</w:t>
      </w:r>
      <w:r w:rsidRPr="00CA2B3E">
        <w:rPr>
          <w:rFonts w:ascii="Arial" w:hAnsi="Arial" w:cs="Arial"/>
          <w:bCs/>
          <w:sz w:val="20"/>
          <w:szCs w:val="20"/>
        </w:rPr>
        <w:t>.</w:t>
      </w:r>
    </w:p>
    <w:p w14:paraId="1EE6C644"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 xml:space="preserve">Davenport, T., </w:t>
      </w:r>
      <w:proofErr w:type="spellStart"/>
      <w:r w:rsidRPr="00CA2B3E">
        <w:rPr>
          <w:rFonts w:ascii="Arial" w:hAnsi="Arial" w:cs="Arial"/>
          <w:bCs/>
          <w:sz w:val="20"/>
          <w:szCs w:val="20"/>
        </w:rPr>
        <w:t>Jarvenpaa</w:t>
      </w:r>
      <w:proofErr w:type="spellEnd"/>
      <w:r w:rsidRPr="00CA2B3E">
        <w:rPr>
          <w:rFonts w:ascii="Arial" w:hAnsi="Arial" w:cs="Arial"/>
          <w:bCs/>
          <w:sz w:val="20"/>
          <w:szCs w:val="20"/>
        </w:rPr>
        <w:t>, S. and Beers, M. (1996)</w:t>
      </w:r>
      <w:r w:rsidR="00916ABF">
        <w:rPr>
          <w:rFonts w:ascii="Arial" w:hAnsi="Arial" w:cs="Arial"/>
          <w:bCs/>
          <w:sz w:val="20"/>
          <w:szCs w:val="20"/>
        </w:rPr>
        <w:t>,</w:t>
      </w:r>
      <w:r w:rsidRPr="00CA2B3E">
        <w:rPr>
          <w:rFonts w:ascii="Arial" w:hAnsi="Arial" w:cs="Arial"/>
          <w:bCs/>
          <w:sz w:val="20"/>
          <w:szCs w:val="20"/>
        </w:rPr>
        <w:t xml:space="preserve"> ‘Improving knowledge work processes’, Sloan Management Review, Vol. 37, pp.53-65. </w:t>
      </w:r>
    </w:p>
    <w:p w14:paraId="1650CE5C"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Zander, D. and Kogut, B</w:t>
      </w:r>
      <w:r w:rsidR="002551AD">
        <w:rPr>
          <w:rFonts w:ascii="Arial" w:hAnsi="Arial" w:cs="Arial"/>
          <w:bCs/>
          <w:sz w:val="20"/>
          <w:szCs w:val="20"/>
        </w:rPr>
        <w:t>.</w:t>
      </w:r>
      <w:r w:rsidRPr="00CA2B3E">
        <w:rPr>
          <w:rFonts w:ascii="Arial" w:hAnsi="Arial" w:cs="Arial"/>
          <w:bCs/>
          <w:sz w:val="20"/>
          <w:szCs w:val="20"/>
        </w:rPr>
        <w:t xml:space="preserve"> (1995)</w:t>
      </w:r>
      <w:r w:rsidR="002551AD">
        <w:rPr>
          <w:rFonts w:ascii="Arial" w:hAnsi="Arial" w:cs="Arial"/>
          <w:bCs/>
          <w:sz w:val="20"/>
          <w:szCs w:val="20"/>
        </w:rPr>
        <w:t>,</w:t>
      </w:r>
      <w:r w:rsidRPr="00CA2B3E">
        <w:rPr>
          <w:rFonts w:ascii="Arial" w:hAnsi="Arial" w:cs="Arial"/>
          <w:bCs/>
          <w:sz w:val="20"/>
          <w:szCs w:val="20"/>
        </w:rPr>
        <w:t xml:space="preserve"> ‘Knowledge and the Speed of the Transfer and Imitation of Organizational Capabilities: An Empirical Test’, Organization Science, Vol. 6</w:t>
      </w:r>
      <w:r w:rsidR="002551AD">
        <w:rPr>
          <w:rFonts w:ascii="Arial" w:hAnsi="Arial" w:cs="Arial"/>
          <w:bCs/>
          <w:sz w:val="20"/>
          <w:szCs w:val="20"/>
        </w:rPr>
        <w:t>,</w:t>
      </w:r>
      <w:r w:rsidRPr="00CA2B3E">
        <w:rPr>
          <w:rFonts w:ascii="Arial" w:hAnsi="Arial" w:cs="Arial"/>
          <w:bCs/>
          <w:sz w:val="20"/>
          <w:szCs w:val="20"/>
        </w:rPr>
        <w:t xml:space="preserve"> No. 1, pp.76-92. </w:t>
      </w:r>
    </w:p>
    <w:p w14:paraId="350966FB"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Zhao, Z.J. and Anand, J. (2009)</w:t>
      </w:r>
      <w:r w:rsidR="002551AD">
        <w:rPr>
          <w:rFonts w:ascii="Arial" w:hAnsi="Arial" w:cs="Arial"/>
          <w:bCs/>
          <w:sz w:val="20"/>
          <w:szCs w:val="20"/>
        </w:rPr>
        <w:t>,</w:t>
      </w:r>
      <w:r w:rsidRPr="00CA2B3E">
        <w:rPr>
          <w:rFonts w:ascii="Arial" w:hAnsi="Arial" w:cs="Arial"/>
          <w:bCs/>
          <w:sz w:val="20"/>
          <w:szCs w:val="20"/>
        </w:rPr>
        <w:t xml:space="preserve"> ‘A multilevel perspective on knowledge transfer: Evidence from Chinese automotive industry’, Strategic Management Journal, Vol. 30</w:t>
      </w:r>
      <w:r w:rsidR="002551AD">
        <w:rPr>
          <w:rFonts w:ascii="Arial" w:hAnsi="Arial" w:cs="Arial"/>
          <w:bCs/>
          <w:sz w:val="20"/>
          <w:szCs w:val="20"/>
        </w:rPr>
        <w:t>,</w:t>
      </w:r>
      <w:r w:rsidRPr="00CA2B3E">
        <w:rPr>
          <w:rFonts w:ascii="Arial" w:hAnsi="Arial" w:cs="Arial"/>
          <w:bCs/>
          <w:sz w:val="20"/>
          <w:szCs w:val="20"/>
        </w:rPr>
        <w:t xml:space="preserve"> No. 9, pp.959-983.</w:t>
      </w:r>
    </w:p>
    <w:p w14:paraId="44C07091" w14:textId="77777777" w:rsidR="00CA2B3E" w:rsidRPr="00CA2B3E" w:rsidRDefault="00CA2B3E" w:rsidP="00D17F74">
      <w:pPr>
        <w:jc w:val="both"/>
        <w:rPr>
          <w:rFonts w:ascii="Arial" w:hAnsi="Arial" w:cs="Arial"/>
          <w:bCs/>
          <w:sz w:val="20"/>
          <w:szCs w:val="20"/>
        </w:rPr>
      </w:pPr>
      <w:r w:rsidRPr="00CA2B3E">
        <w:rPr>
          <w:rFonts w:ascii="Arial" w:hAnsi="Arial" w:cs="Arial"/>
          <w:bCs/>
          <w:sz w:val="20"/>
          <w:szCs w:val="20"/>
        </w:rPr>
        <w:t>Zhuge, H. and Guo, W. (2007)</w:t>
      </w:r>
      <w:r w:rsidR="002551AD">
        <w:rPr>
          <w:rFonts w:ascii="Arial" w:hAnsi="Arial" w:cs="Arial"/>
          <w:bCs/>
          <w:sz w:val="20"/>
          <w:szCs w:val="20"/>
        </w:rPr>
        <w:t>,</w:t>
      </w:r>
      <w:r w:rsidRPr="00CA2B3E">
        <w:rPr>
          <w:rFonts w:ascii="Arial" w:hAnsi="Arial" w:cs="Arial"/>
          <w:bCs/>
          <w:sz w:val="20"/>
          <w:szCs w:val="20"/>
        </w:rPr>
        <w:t xml:space="preserve"> ‘Virtual knowledge service market–For effective knowledge flow within knowledge grid’, Journal of Systems and Software, Vol. 80</w:t>
      </w:r>
      <w:r w:rsidR="002551AD">
        <w:rPr>
          <w:rFonts w:ascii="Arial" w:hAnsi="Arial" w:cs="Arial"/>
          <w:bCs/>
          <w:sz w:val="20"/>
          <w:szCs w:val="20"/>
        </w:rPr>
        <w:t>,</w:t>
      </w:r>
      <w:r w:rsidRPr="00CA2B3E">
        <w:rPr>
          <w:rFonts w:ascii="Arial" w:hAnsi="Arial" w:cs="Arial"/>
          <w:bCs/>
          <w:sz w:val="20"/>
          <w:szCs w:val="20"/>
        </w:rPr>
        <w:t xml:space="preserve"> No. 11, pp.1833-1842. </w:t>
      </w:r>
    </w:p>
    <w:sectPr w:rsidR="00CA2B3E" w:rsidRPr="00CA2B3E" w:rsidSect="0040104F">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1209"/>
    <w:multiLevelType w:val="multilevel"/>
    <w:tmpl w:val="E7986E5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3D967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AB51498"/>
    <w:multiLevelType w:val="multilevel"/>
    <w:tmpl w:val="E7986E5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61B951E8"/>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C1115C2"/>
    <w:multiLevelType w:val="multilevel"/>
    <w:tmpl w:val="A4EA38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ECC4624"/>
    <w:multiLevelType w:val="hybridMultilevel"/>
    <w:tmpl w:val="6FBCF15E"/>
    <w:lvl w:ilvl="0" w:tplc="AC060D7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307637">
    <w:abstractNumId w:val="3"/>
  </w:num>
  <w:num w:numId="2" w16cid:durableId="2016417237">
    <w:abstractNumId w:val="0"/>
  </w:num>
  <w:num w:numId="3" w16cid:durableId="1767310420">
    <w:abstractNumId w:val="4"/>
  </w:num>
  <w:num w:numId="4" w16cid:durableId="744450877">
    <w:abstractNumId w:val="1"/>
  </w:num>
  <w:num w:numId="5" w16cid:durableId="1664548903">
    <w:abstractNumId w:val="2"/>
  </w:num>
  <w:num w:numId="6" w16cid:durableId="1047678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55"/>
    <w:rsid w:val="000C1AB3"/>
    <w:rsid w:val="000E04B3"/>
    <w:rsid w:val="00101564"/>
    <w:rsid w:val="00170338"/>
    <w:rsid w:val="00183493"/>
    <w:rsid w:val="001F6C7B"/>
    <w:rsid w:val="0020486D"/>
    <w:rsid w:val="00241EFD"/>
    <w:rsid w:val="002551AD"/>
    <w:rsid w:val="003240B9"/>
    <w:rsid w:val="003241BE"/>
    <w:rsid w:val="0040104F"/>
    <w:rsid w:val="00465C5C"/>
    <w:rsid w:val="00474987"/>
    <w:rsid w:val="004C1FB8"/>
    <w:rsid w:val="004C5547"/>
    <w:rsid w:val="004D118F"/>
    <w:rsid w:val="004E77A6"/>
    <w:rsid w:val="00545528"/>
    <w:rsid w:val="005A5390"/>
    <w:rsid w:val="005C2833"/>
    <w:rsid w:val="00643DE6"/>
    <w:rsid w:val="006F6355"/>
    <w:rsid w:val="007273C7"/>
    <w:rsid w:val="0077023A"/>
    <w:rsid w:val="007F3336"/>
    <w:rsid w:val="0084201F"/>
    <w:rsid w:val="008F7868"/>
    <w:rsid w:val="00916ABF"/>
    <w:rsid w:val="0092593A"/>
    <w:rsid w:val="00976741"/>
    <w:rsid w:val="009E3C61"/>
    <w:rsid w:val="00A913BE"/>
    <w:rsid w:val="00AA43A2"/>
    <w:rsid w:val="00AD1189"/>
    <w:rsid w:val="00AD5F14"/>
    <w:rsid w:val="00AE422C"/>
    <w:rsid w:val="00B43ED9"/>
    <w:rsid w:val="00B46892"/>
    <w:rsid w:val="00C03EC6"/>
    <w:rsid w:val="00C40D0F"/>
    <w:rsid w:val="00C51AB8"/>
    <w:rsid w:val="00CA2B3E"/>
    <w:rsid w:val="00CA64C5"/>
    <w:rsid w:val="00CB62E7"/>
    <w:rsid w:val="00CE1E70"/>
    <w:rsid w:val="00D17F74"/>
    <w:rsid w:val="00D2330B"/>
    <w:rsid w:val="00D42342"/>
    <w:rsid w:val="00E0327B"/>
    <w:rsid w:val="00E618DC"/>
    <w:rsid w:val="00ED4EA8"/>
    <w:rsid w:val="00F01558"/>
    <w:rsid w:val="00F03598"/>
    <w:rsid w:val="00F50CE7"/>
    <w:rsid w:val="00FC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8C9E"/>
  <w15:docId w15:val="{37F34F4D-134A-485F-A40B-7BC881B7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3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6355"/>
    <w:pPr>
      <w:autoSpaceDE w:val="0"/>
      <w:autoSpaceDN w:val="0"/>
      <w:adjustRightInd w:val="0"/>
      <w:jc w:val="left"/>
    </w:pPr>
    <w:rPr>
      <w:rFonts w:cs="Times New Roman"/>
      <w:color w:val="000000"/>
      <w:szCs w:val="24"/>
    </w:rPr>
  </w:style>
  <w:style w:type="paragraph" w:styleId="BalloonText">
    <w:name w:val="Balloon Text"/>
    <w:basedOn w:val="Normal"/>
    <w:link w:val="BalloonTextChar"/>
    <w:uiPriority w:val="99"/>
    <w:semiHidden/>
    <w:unhideWhenUsed/>
    <w:rsid w:val="00545528"/>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45528"/>
    <w:rPr>
      <w:rFonts w:ascii="Tahoma" w:eastAsiaTheme="minorEastAsia" w:hAnsi="Tahoma" w:cs="Tahoma"/>
      <w:sz w:val="16"/>
      <w:szCs w:val="16"/>
    </w:rPr>
  </w:style>
  <w:style w:type="paragraph" w:styleId="ListParagraph">
    <w:name w:val="List Paragraph"/>
    <w:basedOn w:val="Normal"/>
    <w:uiPriority w:val="34"/>
    <w:qFormat/>
    <w:rsid w:val="00545528"/>
    <w:pPr>
      <w:spacing w:after="120"/>
      <w:ind w:left="720"/>
      <w:contextualSpacing/>
      <w:jc w:val="both"/>
    </w:pPr>
    <w:rPr>
      <w:rFonts w:cs="Times New Roman"/>
      <w:color w:val="000000" w:themeColor="text1"/>
      <w:szCs w:val="24"/>
    </w:rPr>
  </w:style>
  <w:style w:type="character" w:styleId="PlaceholderText">
    <w:name w:val="Placeholder Text"/>
    <w:basedOn w:val="DefaultParagraphFont"/>
    <w:uiPriority w:val="99"/>
    <w:semiHidden/>
    <w:rsid w:val="000E04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G:\DEMATEL%20EXPERT%20SHEET.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DEMATEL%20EXPERT%20SHEET.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G:\DEMATEL%20EXPERT%20SHEET.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68932230578068"/>
          <c:y val="0.16089129483814524"/>
          <c:w val="0.81938569824521967"/>
          <c:h val="0.71778907844853723"/>
        </c:manualLayout>
      </c:layout>
      <c:scatterChart>
        <c:scatterStyle val="lineMarker"/>
        <c:varyColors val="0"/>
        <c:ser>
          <c:idx val="0"/>
          <c:order val="0"/>
          <c:spPr>
            <a:ln w="28575">
              <a:noFill/>
            </a:ln>
          </c:spPr>
          <c:marker>
            <c:symbol val="diamond"/>
            <c:size val="5"/>
            <c:spPr>
              <a:solidFill>
                <a:srgbClr val="0070C0"/>
              </a:solidFill>
            </c:spPr>
          </c:marker>
          <c:dLbls>
            <c:dLbl>
              <c:idx val="0"/>
              <c:tx>
                <c:rich>
                  <a:bodyPr/>
                  <a:lstStyle/>
                  <a:p>
                    <a:r>
                      <a:rPr lang="en-US" sz="1000" b="0" i="0" u="none" strike="noStrike" baseline="0">
                        <a:latin typeface="Arial" pitchFamily="34" charset="0"/>
                        <a:cs typeface="Arial" pitchFamily="34" charset="0"/>
                      </a:rPr>
                      <a:t>Knowledge Characteristic</a:t>
                    </a:r>
                    <a:endParaRPr lang="en-US">
                      <a:latin typeface="Arial" pitchFamily="34" charset="0"/>
                      <a:cs typeface="Arial"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3F53-4AAA-8CE4-EBF669374B10}"/>
                </c:ext>
              </c:extLst>
            </c:dLbl>
            <c:dLbl>
              <c:idx val="1"/>
              <c:layout>
                <c:manualLayout>
                  <c:x val="5.5555555555555558E-3"/>
                  <c:y val="0"/>
                </c:manualLayout>
              </c:layout>
              <c:tx>
                <c:rich>
                  <a:bodyPr/>
                  <a:lstStyle/>
                  <a:p>
                    <a:r>
                      <a:rPr lang="en-US" sz="1000">
                        <a:latin typeface="Arial" pitchFamily="34" charset="0"/>
                        <a:cs typeface="Arial" pitchFamily="34" charset="0"/>
                      </a:rPr>
                      <a:t>K</a:t>
                    </a:r>
                    <a:r>
                      <a:rPr lang="en-US">
                        <a:latin typeface="Arial" pitchFamily="34" charset="0"/>
                        <a:cs typeface="Arial" pitchFamily="34" charset="0"/>
                      </a:rPr>
                      <a:t>nowledge provider</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3F53-4AAA-8CE4-EBF669374B10}"/>
                </c:ext>
              </c:extLst>
            </c:dLbl>
            <c:dLbl>
              <c:idx val="2"/>
              <c:layout>
                <c:manualLayout>
                  <c:x val="-5.0000000000000017E-2"/>
                  <c:y val="-6.9444444444444531E-2"/>
                </c:manualLayout>
              </c:layout>
              <c:tx>
                <c:rich>
                  <a:bodyPr/>
                  <a:lstStyle/>
                  <a:p>
                    <a:r>
                      <a:rPr lang="en-US" sz="1000" b="0" i="0" u="none" strike="noStrike" baseline="0">
                        <a:latin typeface="Arial" pitchFamily="34" charset="0"/>
                        <a:cs typeface="Arial" pitchFamily="34" charset="0"/>
                      </a:rPr>
                      <a:t>Knowledge Receiver</a:t>
                    </a:r>
                    <a:endParaRPr lang="en-US">
                      <a:latin typeface="Arial" pitchFamily="34" charset="0"/>
                      <a:cs typeface="Arial"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F53-4AAA-8CE4-EBF669374B10}"/>
                </c:ext>
              </c:extLst>
            </c:dLbl>
            <c:dLbl>
              <c:idx val="3"/>
              <c:layout>
                <c:manualLayout>
                  <c:x val="0"/>
                  <c:y val="-4.6296296296296788E-3"/>
                </c:manualLayout>
              </c:layout>
              <c:tx>
                <c:rich>
                  <a:bodyPr/>
                  <a:lstStyle/>
                  <a:p>
                    <a:r>
                      <a:rPr lang="en-US" sz="1000" b="0" i="0" u="none" strike="noStrike" baseline="0">
                        <a:latin typeface="Arial" pitchFamily="34" charset="0"/>
                        <a:cs typeface="Arial" pitchFamily="34" charset="0"/>
                      </a:rPr>
                      <a:t>Contextual Factor</a:t>
                    </a:r>
                    <a:endParaRPr lang="en-US">
                      <a:latin typeface="Arial" pitchFamily="34" charset="0"/>
                      <a:cs typeface="Arial"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F53-4AAA-8CE4-EBF669374B10}"/>
                </c:ext>
              </c:extLst>
            </c:dLbl>
            <c:dLbl>
              <c:idx val="4"/>
              <c:layout>
                <c:manualLayout>
                  <c:x val="0"/>
                  <c:y val="2.3148148148148064E-2"/>
                </c:manualLayout>
              </c:layout>
              <c:tx>
                <c:rich>
                  <a:bodyPr/>
                  <a:lstStyle/>
                  <a:p>
                    <a:r>
                      <a:rPr lang="en-US" sz="1000" b="0" i="0" u="none" strike="noStrike" baseline="0">
                        <a:latin typeface="Arial" pitchFamily="34" charset="0"/>
                        <a:cs typeface="Arial" pitchFamily="34" charset="0"/>
                      </a:rPr>
                      <a:t>Knowledge Flow Mechanism</a:t>
                    </a:r>
                    <a:endParaRPr lang="en-US">
                      <a:latin typeface="Arial" pitchFamily="34" charset="0"/>
                      <a:cs typeface="Arial"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3F53-4AAA-8CE4-EBF669374B10}"/>
                </c:ext>
              </c:extLst>
            </c:dLbl>
            <c:spPr>
              <a:noFill/>
              <a:ln>
                <a:noFill/>
              </a:ln>
              <a:effectLst/>
            </c:spPr>
            <c:txPr>
              <a:bodyPr/>
              <a:lstStyle/>
              <a:p>
                <a:pPr>
                  <a:defRPr lang="en-IN" sz="1000">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Sheet1!$M$69:$M$73</c:f>
              <c:numCache>
                <c:formatCode>General</c:formatCode>
                <c:ptCount val="5"/>
                <c:pt idx="0">
                  <c:v>4.0621999999999945</c:v>
                </c:pt>
                <c:pt idx="1">
                  <c:v>3.9830000000000005</c:v>
                </c:pt>
                <c:pt idx="2">
                  <c:v>4.1257999999999955</c:v>
                </c:pt>
                <c:pt idx="3">
                  <c:v>4.0672999999999995</c:v>
                </c:pt>
                <c:pt idx="4">
                  <c:v>3.9984999999999977</c:v>
                </c:pt>
              </c:numCache>
            </c:numRef>
          </c:xVal>
          <c:yVal>
            <c:numRef>
              <c:f>Sheet1!$N$69:$N$73</c:f>
              <c:numCache>
                <c:formatCode>General</c:formatCode>
                <c:ptCount val="5"/>
                <c:pt idx="0">
                  <c:v>-0.90199999999999991</c:v>
                </c:pt>
                <c:pt idx="1">
                  <c:v>1.5526000000000002</c:v>
                </c:pt>
                <c:pt idx="2">
                  <c:v>0.49740000000000284</c:v>
                </c:pt>
                <c:pt idx="3">
                  <c:v>0.10289999999999955</c:v>
                </c:pt>
                <c:pt idx="4">
                  <c:v>-1.2508999999999901</c:v>
                </c:pt>
              </c:numCache>
            </c:numRef>
          </c:yVal>
          <c:smooth val="0"/>
          <c:extLst>
            <c:ext xmlns:c16="http://schemas.microsoft.com/office/drawing/2014/chart" uri="{C3380CC4-5D6E-409C-BE32-E72D297353CC}">
              <c16:uniqueId val="{00000005-3F53-4AAA-8CE4-EBF669374B10}"/>
            </c:ext>
          </c:extLst>
        </c:ser>
        <c:dLbls>
          <c:showLegendKey val="0"/>
          <c:showVal val="0"/>
          <c:showCatName val="0"/>
          <c:showSerName val="0"/>
          <c:showPercent val="0"/>
          <c:showBubbleSize val="0"/>
        </c:dLbls>
        <c:axId val="59429248"/>
        <c:axId val="59431168"/>
      </c:scatterChart>
      <c:valAx>
        <c:axId val="59429248"/>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IN" sz="1000" b="1" i="0" u="none" strike="noStrike" kern="1200" baseline="0">
                    <a:solidFill>
                      <a:sysClr val="windowText" lastClr="000000"/>
                    </a:solidFill>
                    <a:latin typeface="+mn-lt"/>
                    <a:ea typeface="+mn-ea"/>
                    <a:cs typeface="+mn-cs"/>
                  </a:defRPr>
                </a:pPr>
                <a:r>
                  <a:rPr lang="en-IN" sz="1000" b="1" i="0" kern="1200" baseline="0">
                    <a:solidFill>
                      <a:srgbClr val="000000"/>
                    </a:solidFill>
                    <a:latin typeface="Times New Roman"/>
                    <a:cs typeface="Times New Roman"/>
                  </a:rPr>
                  <a:t>r</a:t>
                </a:r>
                <a:r>
                  <a:rPr lang="en-IN" sz="1000" b="1" i="0" kern="1200" baseline="-25000">
                    <a:solidFill>
                      <a:srgbClr val="000000"/>
                    </a:solidFill>
                    <a:latin typeface="Times New Roman"/>
                    <a:cs typeface="Times New Roman"/>
                  </a:rPr>
                  <a:t>i</a:t>
                </a:r>
                <a:r>
                  <a:rPr lang="en-IN" sz="1000" b="1" i="0" kern="1200" baseline="0">
                    <a:solidFill>
                      <a:srgbClr val="000000"/>
                    </a:solidFill>
                    <a:latin typeface="Times New Roman"/>
                    <a:cs typeface="Times New Roman"/>
                  </a:rPr>
                  <a:t> + c</a:t>
                </a:r>
                <a:r>
                  <a:rPr lang="en-IN" sz="1000" b="1" i="0" kern="1200" baseline="-25000">
                    <a:solidFill>
                      <a:srgbClr val="000000"/>
                    </a:solidFill>
                    <a:latin typeface="Times New Roman"/>
                    <a:cs typeface="Times New Roman"/>
                  </a:rPr>
                  <a:t>i</a:t>
                </a:r>
                <a:endParaRPr lang="en-IN"/>
              </a:p>
            </c:rich>
          </c:tx>
          <c:overlay val="0"/>
        </c:title>
        <c:numFmt formatCode="General" sourceLinked="1"/>
        <c:majorTickMark val="none"/>
        <c:minorTickMark val="none"/>
        <c:tickLblPos val="nextTo"/>
        <c:spPr>
          <a:ln w="19050"/>
        </c:spPr>
        <c:txPr>
          <a:bodyPr/>
          <a:lstStyle/>
          <a:p>
            <a:pPr>
              <a:defRPr lang="en-IN" spc="0" baseline="0"/>
            </a:pPr>
            <a:endParaRPr lang="en-US"/>
          </a:p>
        </c:txPr>
        <c:crossAx val="59431168"/>
        <c:crosses val="autoZero"/>
        <c:crossBetween val="midCat"/>
      </c:valAx>
      <c:valAx>
        <c:axId val="59431168"/>
        <c:scaling>
          <c:orientation val="minMax"/>
        </c:scaling>
        <c:delete val="0"/>
        <c:axPos val="l"/>
        <c:majorGridlines>
          <c:spPr>
            <a:ln>
              <a:prstDash val="sysDash"/>
            </a:ln>
          </c:spPr>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IN" sz="1000" b="1" i="0" u="none" strike="noStrike" kern="1200" baseline="0">
                    <a:solidFill>
                      <a:sysClr val="windowText" lastClr="000000"/>
                    </a:solidFill>
                    <a:latin typeface="+mn-lt"/>
                    <a:ea typeface="+mn-ea"/>
                    <a:cs typeface="+mn-cs"/>
                  </a:defRPr>
                </a:pPr>
                <a:r>
                  <a:rPr lang="en-IN" sz="1000" b="1" i="0" kern="1200" baseline="0">
                    <a:solidFill>
                      <a:srgbClr val="000000"/>
                    </a:solidFill>
                    <a:latin typeface="Times New Roman"/>
                    <a:cs typeface="Times New Roman"/>
                  </a:rPr>
                  <a:t>r</a:t>
                </a:r>
                <a:r>
                  <a:rPr lang="en-IN" sz="1000" b="1" i="0" kern="1200" baseline="-25000">
                    <a:solidFill>
                      <a:srgbClr val="000000"/>
                    </a:solidFill>
                    <a:latin typeface="Times New Roman"/>
                    <a:cs typeface="Times New Roman"/>
                  </a:rPr>
                  <a:t>i</a:t>
                </a:r>
                <a:r>
                  <a:rPr lang="en-IN" sz="1000" b="1" i="0" kern="1200" baseline="0">
                    <a:solidFill>
                      <a:srgbClr val="000000"/>
                    </a:solidFill>
                    <a:latin typeface="Times New Roman"/>
                    <a:cs typeface="Times New Roman"/>
                  </a:rPr>
                  <a:t> - c</a:t>
                </a:r>
                <a:r>
                  <a:rPr lang="en-IN" sz="1000" b="1" i="0" kern="1200" baseline="-25000">
                    <a:solidFill>
                      <a:srgbClr val="000000"/>
                    </a:solidFill>
                    <a:latin typeface="Times New Roman"/>
                    <a:cs typeface="Times New Roman"/>
                  </a:rPr>
                  <a:t>i</a:t>
                </a:r>
              </a:p>
            </c:rich>
          </c:tx>
          <c:overlay val="0"/>
        </c:title>
        <c:numFmt formatCode="General" sourceLinked="1"/>
        <c:majorTickMark val="none"/>
        <c:minorTickMark val="none"/>
        <c:tickLblPos val="nextTo"/>
        <c:txPr>
          <a:bodyPr/>
          <a:lstStyle/>
          <a:p>
            <a:pPr>
              <a:defRPr lang="en-IN"/>
            </a:pPr>
            <a:endParaRPr lang="en-US"/>
          </a:p>
        </c:txPr>
        <c:crossAx val="59429248"/>
        <c:crosses val="autoZero"/>
        <c:crossBetween val="midCat"/>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28575">
              <a:noFill/>
            </a:ln>
          </c:spPr>
          <c:marker>
            <c:symbol val="diamond"/>
            <c:size val="5"/>
            <c:spPr>
              <a:solidFill>
                <a:srgbClr val="0070C0"/>
              </a:solidFill>
            </c:spPr>
          </c:marker>
          <c:dLbls>
            <c:dLbl>
              <c:idx val="0"/>
              <c:tx>
                <c:rich>
                  <a:bodyPr/>
                  <a:lstStyle/>
                  <a:p>
                    <a:r>
                      <a:rPr lang="en-US" sz="1000" b="0" i="0" u="none" strike="noStrike" baseline="0">
                        <a:latin typeface="Arial" pitchFamily="34" charset="0"/>
                        <a:cs typeface="Arial" pitchFamily="34" charset="0"/>
                      </a:rPr>
                      <a:t>KC1</a:t>
                    </a:r>
                    <a:endParaRPr lang="en-US">
                      <a:latin typeface="Arial" pitchFamily="34" charset="0"/>
                      <a:cs typeface="Arial"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9A7-457E-B937-E0CE6C5AC4C0}"/>
                </c:ext>
              </c:extLst>
            </c:dLbl>
            <c:dLbl>
              <c:idx val="1"/>
              <c:tx>
                <c:rich>
                  <a:bodyPr/>
                  <a:lstStyle/>
                  <a:p>
                    <a:r>
                      <a:rPr lang="en-US" sz="1000" b="0" i="0" u="none" strike="noStrike" baseline="0">
                        <a:latin typeface="Arial" pitchFamily="34" charset="0"/>
                        <a:cs typeface="Arial" pitchFamily="34" charset="0"/>
                      </a:rPr>
                      <a:t>KC2</a:t>
                    </a:r>
                    <a:endParaRPr lang="en-US">
                      <a:latin typeface="Arial" pitchFamily="34" charset="0"/>
                      <a:cs typeface="Arial"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9A7-457E-B937-E0CE6C5AC4C0}"/>
                </c:ext>
              </c:extLst>
            </c:dLbl>
            <c:spPr>
              <a:noFill/>
            </c:spPr>
            <c:txPr>
              <a:bodyPr/>
              <a:lstStyle/>
              <a:p>
                <a:pPr>
                  <a:defRPr lang="en-IN">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Sheet6!$H$35:$H$36</c:f>
              <c:numCache>
                <c:formatCode>General</c:formatCode>
                <c:ptCount val="2"/>
                <c:pt idx="0">
                  <c:v>1.9089999999999998</c:v>
                </c:pt>
                <c:pt idx="1">
                  <c:v>0.90900000000000003</c:v>
                </c:pt>
              </c:numCache>
            </c:numRef>
          </c:xVal>
          <c:yVal>
            <c:numRef>
              <c:f>Sheet6!$I$35:$I$36</c:f>
              <c:numCache>
                <c:formatCode>General</c:formatCode>
                <c:ptCount val="2"/>
                <c:pt idx="0">
                  <c:v>-0.99999999999999978</c:v>
                </c:pt>
                <c:pt idx="1">
                  <c:v>0.99999999999999978</c:v>
                </c:pt>
              </c:numCache>
            </c:numRef>
          </c:yVal>
          <c:smooth val="0"/>
          <c:extLst>
            <c:ext xmlns:c16="http://schemas.microsoft.com/office/drawing/2014/chart" uri="{C3380CC4-5D6E-409C-BE32-E72D297353CC}">
              <c16:uniqueId val="{00000002-79A7-457E-B937-E0CE6C5AC4C0}"/>
            </c:ext>
          </c:extLst>
        </c:ser>
        <c:dLbls>
          <c:showLegendKey val="0"/>
          <c:showVal val="0"/>
          <c:showCatName val="0"/>
          <c:showSerName val="0"/>
          <c:showPercent val="0"/>
          <c:showBubbleSize val="0"/>
        </c:dLbls>
        <c:axId val="59568128"/>
        <c:axId val="59570432"/>
      </c:scatterChart>
      <c:valAx>
        <c:axId val="59568128"/>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IN" sz="1000" b="1" i="0" u="none" strike="noStrike" kern="1200" baseline="0">
                    <a:solidFill>
                      <a:sysClr val="windowText" lastClr="000000"/>
                    </a:solidFill>
                    <a:latin typeface="+mn-lt"/>
                    <a:ea typeface="+mn-ea"/>
                    <a:cs typeface="+mn-cs"/>
                  </a:defRPr>
                </a:pPr>
                <a:r>
                  <a:rPr lang="en-IN" sz="1100" b="1" i="0" kern="1200" baseline="0">
                    <a:solidFill>
                      <a:srgbClr val="000000"/>
                    </a:solidFill>
                    <a:latin typeface="Times New Roman"/>
                    <a:cs typeface="Times New Roman"/>
                  </a:rPr>
                  <a:t>r</a:t>
                </a:r>
                <a:r>
                  <a:rPr lang="en-IN" sz="1100" b="1" i="0" kern="1200" baseline="-25000">
                    <a:solidFill>
                      <a:srgbClr val="000000"/>
                    </a:solidFill>
                    <a:latin typeface="Times New Roman"/>
                    <a:cs typeface="Times New Roman"/>
                  </a:rPr>
                  <a:t>i</a:t>
                </a:r>
                <a:r>
                  <a:rPr lang="en-IN" sz="1100" b="1" i="0" kern="1200" baseline="0">
                    <a:solidFill>
                      <a:srgbClr val="000000"/>
                    </a:solidFill>
                    <a:latin typeface="Times New Roman"/>
                    <a:cs typeface="Times New Roman"/>
                  </a:rPr>
                  <a:t>+c</a:t>
                </a:r>
                <a:r>
                  <a:rPr lang="en-IN" sz="1100" b="1" i="0" kern="1200" baseline="-25000">
                    <a:solidFill>
                      <a:srgbClr val="000000"/>
                    </a:solidFill>
                    <a:latin typeface="Times New Roman"/>
                    <a:cs typeface="Times New Roman"/>
                  </a:rPr>
                  <a:t>i</a:t>
                </a:r>
                <a:endParaRPr lang="en-IN" sz="1100"/>
              </a:p>
            </c:rich>
          </c:tx>
          <c:overlay val="0"/>
        </c:title>
        <c:numFmt formatCode="General" sourceLinked="1"/>
        <c:majorTickMark val="none"/>
        <c:minorTickMark val="none"/>
        <c:tickLblPos val="nextTo"/>
        <c:spPr>
          <a:ln w="19050"/>
        </c:spPr>
        <c:txPr>
          <a:bodyPr/>
          <a:lstStyle/>
          <a:p>
            <a:pPr>
              <a:defRPr lang="en-IN"/>
            </a:pPr>
            <a:endParaRPr lang="en-US"/>
          </a:p>
        </c:txPr>
        <c:crossAx val="59570432"/>
        <c:crosses val="autoZero"/>
        <c:crossBetween val="midCat"/>
      </c:valAx>
      <c:valAx>
        <c:axId val="59570432"/>
        <c:scaling>
          <c:orientation val="minMax"/>
        </c:scaling>
        <c:delete val="0"/>
        <c:axPos val="l"/>
        <c:majorGridlines>
          <c:spPr>
            <a:ln>
              <a:prstDash val="sysDash"/>
            </a:ln>
          </c:spPr>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IN" sz="1000" b="1" i="0" u="none" strike="noStrike" kern="1200" baseline="0">
                    <a:solidFill>
                      <a:sysClr val="windowText" lastClr="000000"/>
                    </a:solidFill>
                    <a:latin typeface="+mn-lt"/>
                    <a:ea typeface="+mn-ea"/>
                    <a:cs typeface="+mn-cs"/>
                  </a:defRPr>
                </a:pPr>
                <a:r>
                  <a:rPr lang="en-IN" sz="1100" b="1" i="0" kern="1200" baseline="0">
                    <a:solidFill>
                      <a:srgbClr val="000000"/>
                    </a:solidFill>
                    <a:latin typeface="Times New Roman"/>
                    <a:cs typeface="Times New Roman"/>
                  </a:rPr>
                  <a:t>r</a:t>
                </a:r>
                <a:r>
                  <a:rPr lang="en-IN" sz="1100" b="1" i="0" kern="1200" baseline="-25000">
                    <a:solidFill>
                      <a:srgbClr val="000000"/>
                    </a:solidFill>
                    <a:latin typeface="Times New Roman"/>
                    <a:cs typeface="Times New Roman"/>
                  </a:rPr>
                  <a:t>i </a:t>
                </a:r>
                <a:r>
                  <a:rPr lang="en-IN" sz="1100" b="1" i="0" kern="1200" baseline="0">
                    <a:solidFill>
                      <a:srgbClr val="000000"/>
                    </a:solidFill>
                    <a:latin typeface="Times New Roman"/>
                    <a:cs typeface="Times New Roman"/>
                  </a:rPr>
                  <a:t>- c</a:t>
                </a:r>
                <a:r>
                  <a:rPr lang="en-IN" sz="1100" b="1" i="0" kern="1200" baseline="-25000">
                    <a:solidFill>
                      <a:srgbClr val="000000"/>
                    </a:solidFill>
                    <a:latin typeface="Times New Roman"/>
                    <a:cs typeface="Times New Roman"/>
                  </a:rPr>
                  <a:t>i</a:t>
                </a:r>
                <a:endParaRPr lang="en-IN" sz="1100"/>
              </a:p>
            </c:rich>
          </c:tx>
          <c:overlay val="0"/>
        </c:title>
        <c:numFmt formatCode="General" sourceLinked="1"/>
        <c:majorTickMark val="none"/>
        <c:minorTickMark val="none"/>
        <c:tickLblPos val="nextTo"/>
        <c:txPr>
          <a:bodyPr/>
          <a:lstStyle/>
          <a:p>
            <a:pPr>
              <a:defRPr lang="en-IN"/>
            </a:pPr>
            <a:endParaRPr lang="en-US"/>
          </a:p>
        </c:txPr>
        <c:crossAx val="59568128"/>
        <c:crosses val="autoZero"/>
        <c:crossBetween val="midCat"/>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548552383479144"/>
          <c:y val="9.7980937339398319E-2"/>
          <c:w val="0.80189764219730064"/>
          <c:h val="0.78511105951171123"/>
        </c:manualLayout>
      </c:layout>
      <c:scatterChart>
        <c:scatterStyle val="lineMarker"/>
        <c:varyColors val="0"/>
        <c:ser>
          <c:idx val="0"/>
          <c:order val="0"/>
          <c:tx>
            <c:v>Figure 4.3: The Cause Effect Relation Digraph (knowledge provider)</c:v>
          </c:tx>
          <c:spPr>
            <a:ln w="28575">
              <a:noFill/>
            </a:ln>
          </c:spPr>
          <c:marker>
            <c:symbol val="diamond"/>
            <c:size val="5"/>
            <c:spPr>
              <a:solidFill>
                <a:srgbClr val="0070C0"/>
              </a:solidFill>
            </c:spPr>
          </c:marker>
          <c:dLbls>
            <c:dLbl>
              <c:idx val="0"/>
              <c:tx>
                <c:rich>
                  <a:bodyPr/>
                  <a:lstStyle/>
                  <a:p>
                    <a:r>
                      <a:rPr lang="en-US" sz="1000" b="0" i="0" u="none" strike="noStrike" baseline="0">
                        <a:latin typeface="Arial" pitchFamily="34" charset="0"/>
                        <a:cs typeface="Arial" pitchFamily="34" charset="0"/>
                      </a:rPr>
                      <a:t>KP1</a:t>
                    </a:r>
                    <a:endParaRPr lang="en-US">
                      <a:latin typeface="Arial" pitchFamily="34" charset="0"/>
                      <a:cs typeface="Arial"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AAF-4E06-8E20-738F7E8A8E6A}"/>
                </c:ext>
              </c:extLst>
            </c:dLbl>
            <c:dLbl>
              <c:idx val="1"/>
              <c:layout>
                <c:manualLayout>
                  <c:x val="-1.1119852307347465E-2"/>
                  <c:y val="6.2457912043944512E-2"/>
                </c:manualLayout>
              </c:layout>
              <c:tx>
                <c:rich>
                  <a:bodyPr/>
                  <a:lstStyle/>
                  <a:p>
                    <a:r>
                      <a:rPr lang="en-US" sz="1000" b="0" i="0" u="none" strike="noStrike" baseline="0">
                        <a:latin typeface="Arial" pitchFamily="34" charset="0"/>
                        <a:cs typeface="Arial" pitchFamily="34" charset="0"/>
                      </a:rPr>
                      <a:t>KP2</a:t>
                    </a:r>
                    <a:endParaRPr lang="en-US">
                      <a:latin typeface="Arial" pitchFamily="34" charset="0"/>
                      <a:cs typeface="Arial"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AAF-4E06-8E20-738F7E8A8E6A}"/>
                </c:ext>
              </c:extLst>
            </c:dLbl>
            <c:dLbl>
              <c:idx val="2"/>
              <c:tx>
                <c:rich>
                  <a:bodyPr/>
                  <a:lstStyle/>
                  <a:p>
                    <a:r>
                      <a:rPr lang="en-US" sz="1000" b="0" i="0" u="none" strike="noStrike" baseline="0">
                        <a:latin typeface="Arial" pitchFamily="34" charset="0"/>
                        <a:cs typeface="Arial" pitchFamily="34" charset="0"/>
                      </a:rPr>
                      <a:t>KP3</a:t>
                    </a:r>
                    <a:endParaRPr lang="en-US">
                      <a:latin typeface="Arial" pitchFamily="34" charset="0"/>
                      <a:cs typeface="Arial"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AAF-4E06-8E20-738F7E8A8E6A}"/>
                </c:ext>
              </c:extLst>
            </c:dLbl>
            <c:dLbl>
              <c:idx val="3"/>
              <c:tx>
                <c:rich>
                  <a:bodyPr/>
                  <a:lstStyle/>
                  <a:p>
                    <a:r>
                      <a:rPr lang="en-US" sz="1000" b="0" i="0" u="none" strike="noStrike" baseline="0">
                        <a:latin typeface="Arial" pitchFamily="34" charset="0"/>
                        <a:cs typeface="Arial" pitchFamily="34" charset="0"/>
                      </a:rPr>
                      <a:t>KP4</a:t>
                    </a:r>
                    <a:endParaRPr lang="en-US">
                      <a:latin typeface="Arial" pitchFamily="34" charset="0"/>
                      <a:cs typeface="Arial"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AAF-4E06-8E20-738F7E8A8E6A}"/>
                </c:ext>
              </c:extLst>
            </c:dLbl>
            <c:dLbl>
              <c:idx val="4"/>
              <c:layout>
                <c:manualLayout>
                  <c:x val="-2.7799630768368692E-3"/>
                  <c:y val="4.4612794317102746E-3"/>
                </c:manualLayout>
              </c:layout>
              <c:tx>
                <c:rich>
                  <a:bodyPr/>
                  <a:lstStyle/>
                  <a:p>
                    <a:r>
                      <a:rPr lang="en-US" sz="1000" b="0" i="0" u="none" strike="noStrike" baseline="0">
                        <a:latin typeface="Arial" pitchFamily="34" charset="0"/>
                        <a:cs typeface="Arial" pitchFamily="34" charset="0"/>
                      </a:rPr>
                      <a:t>KP5</a:t>
                    </a:r>
                    <a:endParaRPr lang="en-US">
                      <a:latin typeface="Arial" pitchFamily="34" charset="0"/>
                      <a:cs typeface="Arial"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2AAF-4E06-8E20-738F7E8A8E6A}"/>
                </c:ext>
              </c:extLst>
            </c:dLbl>
            <c:dLbl>
              <c:idx val="5"/>
              <c:tx>
                <c:rich>
                  <a:bodyPr/>
                  <a:lstStyle/>
                  <a:p>
                    <a:r>
                      <a:rPr lang="en-US" sz="1000" b="0" i="0" u="none" strike="noStrike" baseline="0">
                        <a:latin typeface="Arial" pitchFamily="34" charset="0"/>
                        <a:cs typeface="Arial" pitchFamily="34" charset="0"/>
                      </a:rPr>
                      <a:t>KP6</a:t>
                    </a:r>
                    <a:endParaRPr lang="en-US">
                      <a:latin typeface="Arial" pitchFamily="34" charset="0"/>
                      <a:cs typeface="Arial" pitchFamily="34" charset="0"/>
                    </a:endParaRP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AAF-4E06-8E20-738F7E8A8E6A}"/>
                </c:ext>
              </c:extLst>
            </c:dLbl>
            <c:spPr>
              <a:noFill/>
              <a:ln>
                <a:noFill/>
              </a:ln>
              <a:effectLst/>
            </c:spPr>
            <c:txPr>
              <a:bodyPr/>
              <a:lstStyle/>
              <a:p>
                <a:pPr>
                  <a:defRPr lang="en-IN">
                    <a:latin typeface="Arial" pitchFamily="34" charset="0"/>
                    <a:cs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Sheet2!$L$78:$L$83</c:f>
              <c:numCache>
                <c:formatCode>General</c:formatCode>
                <c:ptCount val="6"/>
                <c:pt idx="0">
                  <c:v>5.9763000000000428</c:v>
                </c:pt>
                <c:pt idx="1">
                  <c:v>5.4863000000000124</c:v>
                </c:pt>
                <c:pt idx="2">
                  <c:v>6.3657999999999975</c:v>
                </c:pt>
                <c:pt idx="3">
                  <c:v>6.2019000000000002</c:v>
                </c:pt>
                <c:pt idx="4">
                  <c:v>5.9459</c:v>
                </c:pt>
                <c:pt idx="5">
                  <c:v>6.3609999999999856</c:v>
                </c:pt>
              </c:numCache>
            </c:numRef>
          </c:xVal>
          <c:yVal>
            <c:numRef>
              <c:f>Sheet2!$M$78:$M$83</c:f>
              <c:numCache>
                <c:formatCode>General</c:formatCode>
                <c:ptCount val="6"/>
                <c:pt idx="0">
                  <c:v>1.4941</c:v>
                </c:pt>
                <c:pt idx="1">
                  <c:v>-0.35210000000000008</c:v>
                </c:pt>
                <c:pt idx="2">
                  <c:v>2.8929999999999967</c:v>
                </c:pt>
                <c:pt idx="3">
                  <c:v>1.1731000000000003</c:v>
                </c:pt>
                <c:pt idx="4">
                  <c:v>-7.6299999999999812E-2</c:v>
                </c:pt>
                <c:pt idx="5">
                  <c:v>3.5403999999999991</c:v>
                </c:pt>
              </c:numCache>
            </c:numRef>
          </c:yVal>
          <c:smooth val="0"/>
          <c:extLst>
            <c:ext xmlns:c16="http://schemas.microsoft.com/office/drawing/2014/chart" uri="{C3380CC4-5D6E-409C-BE32-E72D297353CC}">
              <c16:uniqueId val="{00000006-2AAF-4E06-8E20-738F7E8A8E6A}"/>
            </c:ext>
          </c:extLst>
        </c:ser>
        <c:dLbls>
          <c:showLegendKey val="0"/>
          <c:showVal val="0"/>
          <c:showCatName val="0"/>
          <c:showSerName val="0"/>
          <c:showPercent val="0"/>
          <c:showBubbleSize val="0"/>
        </c:dLbls>
        <c:axId val="155321472"/>
        <c:axId val="155323392"/>
      </c:scatterChart>
      <c:valAx>
        <c:axId val="155321472"/>
        <c:scaling>
          <c:orientation val="minMax"/>
          <c:min val="5.4"/>
        </c:scaling>
        <c:delete val="0"/>
        <c:axPos val="b"/>
        <c:title>
          <c:tx>
            <c:rich>
              <a:bodyPr/>
              <a:lstStyle/>
              <a:p>
                <a:pPr>
                  <a:defRPr lang="en-IN"/>
                </a:pPr>
                <a:endParaRPr lang="en-IN"/>
              </a:p>
            </c:rich>
          </c:tx>
          <c:overlay val="0"/>
        </c:title>
        <c:numFmt formatCode="General" sourceLinked="1"/>
        <c:majorTickMark val="none"/>
        <c:minorTickMark val="none"/>
        <c:tickLblPos val="nextTo"/>
        <c:spPr>
          <a:ln w="19050"/>
        </c:spPr>
        <c:txPr>
          <a:bodyPr/>
          <a:lstStyle/>
          <a:p>
            <a:pPr>
              <a:defRPr lang="en-IN"/>
            </a:pPr>
            <a:endParaRPr lang="en-US"/>
          </a:p>
        </c:txPr>
        <c:crossAx val="155323392"/>
        <c:crosses val="autoZero"/>
        <c:crossBetween val="midCat"/>
      </c:valAx>
      <c:valAx>
        <c:axId val="155323392"/>
        <c:scaling>
          <c:orientation val="minMax"/>
        </c:scaling>
        <c:delete val="0"/>
        <c:axPos val="l"/>
        <c:majorGridlines>
          <c:spPr>
            <a:ln>
              <a:solidFill>
                <a:schemeClr val="tx1"/>
              </a:solidFill>
              <a:prstDash val="sysDash"/>
            </a:ln>
          </c:spPr>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IN" sz="1000" b="1" i="0" u="none" strike="noStrike" kern="1200" baseline="0">
                    <a:solidFill>
                      <a:sysClr val="windowText" lastClr="000000"/>
                    </a:solidFill>
                    <a:latin typeface="+mn-lt"/>
                    <a:ea typeface="+mn-ea"/>
                    <a:cs typeface="+mn-cs"/>
                  </a:defRPr>
                </a:pPr>
                <a:r>
                  <a:rPr lang="en-IN" sz="1100" b="1" i="0" kern="1200" baseline="0">
                    <a:solidFill>
                      <a:srgbClr val="000000"/>
                    </a:solidFill>
                    <a:latin typeface="Times New Roman"/>
                    <a:cs typeface="Times New Roman"/>
                  </a:rPr>
                  <a:t>r</a:t>
                </a:r>
                <a:r>
                  <a:rPr lang="en-IN" sz="1100" b="1" i="0" kern="1200" baseline="-25000">
                    <a:solidFill>
                      <a:srgbClr val="000000"/>
                    </a:solidFill>
                    <a:latin typeface="Times New Roman"/>
                    <a:cs typeface="Times New Roman"/>
                  </a:rPr>
                  <a:t>i </a:t>
                </a:r>
                <a:r>
                  <a:rPr lang="en-IN" sz="1100" b="1" i="0" kern="1200" baseline="0">
                    <a:solidFill>
                      <a:srgbClr val="000000"/>
                    </a:solidFill>
                    <a:latin typeface="Times New Roman"/>
                    <a:cs typeface="Times New Roman"/>
                  </a:rPr>
                  <a:t>- c</a:t>
                </a:r>
                <a:r>
                  <a:rPr lang="en-IN" sz="1100" b="1" i="0" kern="1200" baseline="-25000">
                    <a:solidFill>
                      <a:srgbClr val="000000"/>
                    </a:solidFill>
                    <a:latin typeface="Times New Roman"/>
                    <a:cs typeface="Times New Roman"/>
                  </a:rPr>
                  <a:t>i</a:t>
                </a:r>
                <a:endParaRPr lang="en-IN" sz="1100" b="1" i="0" kern="1200" baseline="0">
                  <a:solidFill>
                    <a:srgbClr val="000000"/>
                  </a:solidFill>
                </a:endParaRPr>
              </a:p>
            </c:rich>
          </c:tx>
          <c:overlay val="0"/>
        </c:title>
        <c:numFmt formatCode="General" sourceLinked="1"/>
        <c:majorTickMark val="none"/>
        <c:minorTickMark val="none"/>
        <c:tickLblPos val="nextTo"/>
        <c:txPr>
          <a:bodyPr/>
          <a:lstStyle/>
          <a:p>
            <a:pPr>
              <a:defRPr lang="en-IN"/>
            </a:pPr>
            <a:endParaRPr lang="en-US"/>
          </a:p>
        </c:txPr>
        <c:crossAx val="155321472"/>
        <c:crosses val="autoZero"/>
        <c:crossBetween val="midCat"/>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0.41659</cdr:x>
      <cdr:y>0.90566</cdr:y>
    </cdr:from>
    <cdr:to>
      <cdr:x>0.60527</cdr:x>
      <cdr:y>0.98113</cdr:y>
    </cdr:to>
    <cdr:sp macro="" textlink="">
      <cdr:nvSpPr>
        <cdr:cNvPr id="2" name="TextBox 1"/>
        <cdr:cNvSpPr txBox="1"/>
      </cdr:nvSpPr>
      <cdr:spPr>
        <a:xfrm xmlns:a="http://schemas.openxmlformats.org/drawingml/2006/main">
          <a:off x="1904641" y="2484408"/>
          <a:ext cx="862641" cy="2070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IN" sz="1100" b="1">
              <a:latin typeface="Times New Roman" pitchFamily="18" charset="0"/>
              <a:cs typeface="Times New Roman" pitchFamily="18" charset="0"/>
            </a:rPr>
            <a:t>r</a:t>
          </a:r>
          <a:r>
            <a:rPr lang="en-IN" sz="1100" b="1" baseline="-25000">
              <a:latin typeface="Times New Roman" pitchFamily="18" charset="0"/>
              <a:cs typeface="Times New Roman" pitchFamily="18" charset="0"/>
            </a:rPr>
            <a:t>i</a:t>
          </a:r>
          <a:r>
            <a:rPr lang="en-IN" sz="1100" b="1">
              <a:latin typeface="Times New Roman" pitchFamily="18" charset="0"/>
              <a:cs typeface="Times New Roman" pitchFamily="18" charset="0"/>
            </a:rPr>
            <a:t>+c</a:t>
          </a:r>
          <a:r>
            <a:rPr lang="en-IN" sz="1100" b="1" baseline="-25000">
              <a:latin typeface="Times New Roman" pitchFamily="18" charset="0"/>
              <a:cs typeface="Times New Roman" pitchFamily="18" charset="0"/>
            </a:rPr>
            <a:t>i</a:t>
          </a:r>
        </a:p>
        <a:p xmlns:a="http://schemas.openxmlformats.org/drawingml/2006/main">
          <a:endParaRPr lang="en-IN"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6</Pages>
  <Words>2720</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 J Patel</cp:lastModifiedBy>
  <cp:revision>2</cp:revision>
  <dcterms:created xsi:type="dcterms:W3CDTF">2026-06-06T07:55:00Z</dcterms:created>
  <dcterms:modified xsi:type="dcterms:W3CDTF">2026-06-06T07:55:00Z</dcterms:modified>
</cp:coreProperties>
</file>